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183" w:rsidRPr="00826999" w:rsidRDefault="00D76183" w:rsidP="00D76183">
      <w:pPr>
        <w:spacing w:line="360" w:lineRule="auto"/>
        <w:jc w:val="both"/>
        <w:rPr>
          <w:rFonts w:ascii="Palatino Linotype" w:hAnsi="Palatino Linotype" w:cs="Arial"/>
          <w:b/>
        </w:rPr>
      </w:pPr>
      <w:r w:rsidRPr="00826999">
        <w:rPr>
          <w:rFonts w:ascii="Palatino Linotype" w:hAnsi="Palatino Linotype" w:cs="Arial"/>
          <w:b/>
        </w:rPr>
        <w:t>VOTO DISIDENTE DEL COMISIONADO JOSÉ GUADALUPE LUNA HERNÁNDEZ EN EL RECURSO DE REVISIÓN 0</w:t>
      </w:r>
      <w:r w:rsidR="00F16984">
        <w:rPr>
          <w:rFonts w:ascii="Palatino Linotype" w:hAnsi="Palatino Linotype" w:cs="Arial"/>
          <w:b/>
        </w:rPr>
        <w:t>4396</w:t>
      </w:r>
      <w:r w:rsidRPr="00826999">
        <w:rPr>
          <w:rFonts w:ascii="Palatino Linotype" w:hAnsi="Palatino Linotype" w:cs="Arial"/>
          <w:b/>
        </w:rPr>
        <w:t>/INFOEM/IP/RR/201</w:t>
      </w:r>
      <w:r w:rsidR="00500F30">
        <w:rPr>
          <w:rFonts w:ascii="Palatino Linotype" w:hAnsi="Palatino Linotype" w:cs="Arial"/>
          <w:b/>
        </w:rPr>
        <w:t>8</w:t>
      </w:r>
      <w:r w:rsidRPr="00826999">
        <w:rPr>
          <w:rFonts w:ascii="Palatino Linotype" w:hAnsi="Palatino Linotype" w:cs="Arial"/>
          <w:b/>
        </w:rPr>
        <w:t>.</w:t>
      </w:r>
    </w:p>
    <w:p w:rsidR="00D76183" w:rsidRDefault="00D76183" w:rsidP="00D76183">
      <w:pPr>
        <w:spacing w:line="360" w:lineRule="auto"/>
        <w:jc w:val="both"/>
        <w:rPr>
          <w:rFonts w:ascii="Palatino Linotype" w:hAnsi="Palatino Linotype" w:cs="Arial"/>
        </w:rPr>
      </w:pPr>
    </w:p>
    <w:p w:rsidR="00D76183" w:rsidRPr="00310096" w:rsidRDefault="00D76183" w:rsidP="00D76183">
      <w:pPr>
        <w:spacing w:line="360" w:lineRule="auto"/>
        <w:jc w:val="both"/>
        <w:rPr>
          <w:rFonts w:ascii="Palatino Linotype" w:hAnsi="Palatino Linotype" w:cs="Arial"/>
          <w:b/>
          <w:i/>
        </w:rPr>
      </w:pPr>
      <w:r w:rsidRPr="00310096">
        <w:rPr>
          <w:rFonts w:ascii="Palatino Linotype" w:hAnsi="Palatino Linotype" w:cs="Arial"/>
          <w:b/>
          <w:i/>
        </w:rPr>
        <w:t>Líneas argumentativas.</w:t>
      </w:r>
    </w:p>
    <w:p w:rsidR="00D76183" w:rsidRPr="00310096" w:rsidRDefault="00D76183" w:rsidP="00D76183">
      <w:pPr>
        <w:spacing w:line="360" w:lineRule="auto"/>
        <w:jc w:val="both"/>
        <w:rPr>
          <w:rFonts w:ascii="Palatino Linotype" w:hAnsi="Palatino Linotype" w:cs="Arial"/>
          <w:i/>
        </w:rPr>
      </w:pPr>
    </w:p>
    <w:p w:rsidR="00D76183" w:rsidRPr="00310096" w:rsidRDefault="00D76183" w:rsidP="00D76183">
      <w:pPr>
        <w:spacing w:before="240" w:after="240" w:line="360" w:lineRule="auto"/>
        <w:jc w:val="both"/>
        <w:rPr>
          <w:rFonts w:ascii="Palatino Linotype" w:hAnsi="Palatino Linotype" w:cs="Arial"/>
          <w:i/>
        </w:rPr>
      </w:pPr>
      <w:r w:rsidRPr="00310096">
        <w:rPr>
          <w:rFonts w:ascii="Palatino Linotype" w:hAnsi="Palatino Linotype" w:cs="Arial"/>
          <w:i/>
        </w:rPr>
        <w:t xml:space="preserve">Los servicios de protección, custodia, vigilancia y seguridad a dependencias y organismos públicos forman parte de la función general de seguridad pública, susceptibles de generar </w:t>
      </w:r>
      <w:r w:rsidR="001355C7">
        <w:rPr>
          <w:rFonts w:ascii="Palatino Linotype" w:hAnsi="Palatino Linotype" w:cs="Arial"/>
          <w:i/>
        </w:rPr>
        <w:t>documentación pública.</w:t>
      </w:r>
    </w:p>
    <w:p w:rsidR="00D76183" w:rsidRPr="001E3423" w:rsidRDefault="00D76183" w:rsidP="00D76183">
      <w:pPr>
        <w:spacing w:before="240" w:after="360" w:line="360" w:lineRule="auto"/>
        <w:jc w:val="both"/>
        <w:rPr>
          <w:rFonts w:ascii="Palatino Linotype" w:hAnsi="Palatino Linotype" w:cs="Arial"/>
          <w:i/>
        </w:rPr>
      </w:pPr>
      <w:r w:rsidRPr="00310096">
        <w:rPr>
          <w:rFonts w:ascii="Palatino Linotype" w:hAnsi="Palatino Linotype" w:cs="Arial"/>
          <w:i/>
        </w:rPr>
        <w:t xml:space="preserve">El organismo que brinda los servicios de protección, custodia, vigilancia y seguridad es un </w:t>
      </w:r>
      <w:r w:rsidR="00950234" w:rsidRPr="001E3423">
        <w:rPr>
          <w:rFonts w:ascii="Palatino Linotype" w:hAnsi="Palatino Linotype" w:cs="Arial"/>
          <w:i/>
        </w:rPr>
        <w:t xml:space="preserve">organismo auxiliar público en las actividades que realiza </w:t>
      </w:r>
      <w:r w:rsidR="001355C7" w:rsidRPr="001E3423">
        <w:rPr>
          <w:rFonts w:ascii="Palatino Linotype" w:hAnsi="Palatino Linotype" w:cs="Arial"/>
          <w:i/>
        </w:rPr>
        <w:t>el Estado.</w:t>
      </w:r>
    </w:p>
    <w:p w:rsidR="00D76183" w:rsidRPr="00310096" w:rsidRDefault="00D76183" w:rsidP="00D76183">
      <w:pPr>
        <w:spacing w:before="240" w:after="240" w:line="360" w:lineRule="auto"/>
        <w:jc w:val="both"/>
        <w:rPr>
          <w:rFonts w:ascii="Palatino Linotype" w:eastAsia="Calibri" w:hAnsi="Palatino Linotype"/>
          <w:i/>
          <w:lang w:eastAsia="es-ES"/>
        </w:rPr>
      </w:pPr>
      <w:r w:rsidRPr="00310096">
        <w:rPr>
          <w:rFonts w:ascii="Palatino Linotype" w:eastAsia="Calibri" w:hAnsi="Palatino Linotype"/>
          <w:i/>
          <w:lang w:eastAsia="es-ES"/>
        </w:rPr>
        <w:t>Cuando la respuesta emitida por el Sujeto Obligado, al amparo de las disposiciones jurídicas insuficientes y deficientes, pretenden negar la información solicitada, se vulnera el derecho de acceso a l</w:t>
      </w:r>
      <w:r w:rsidR="001355C7">
        <w:rPr>
          <w:rFonts w:ascii="Palatino Linotype" w:eastAsia="Calibri" w:hAnsi="Palatino Linotype"/>
          <w:i/>
          <w:lang w:eastAsia="es-ES"/>
        </w:rPr>
        <w:t xml:space="preserve">a información pública. </w:t>
      </w:r>
    </w:p>
    <w:p w:rsidR="00D76183" w:rsidRPr="00310096" w:rsidRDefault="00D76183" w:rsidP="00D76183">
      <w:pPr>
        <w:spacing w:before="240" w:after="360" w:line="360" w:lineRule="auto"/>
        <w:jc w:val="both"/>
        <w:rPr>
          <w:rFonts w:ascii="Palatino Linotype" w:hAnsi="Palatino Linotype" w:cs="Arial"/>
          <w:i/>
        </w:rPr>
      </w:pPr>
      <w:r w:rsidRPr="00310096">
        <w:rPr>
          <w:rFonts w:ascii="Palatino Linotype" w:hAnsi="Palatino Linotype" w:cs="Arial"/>
          <w:i/>
        </w:rPr>
        <w:t xml:space="preserve">Tratándose de una búsqueda deficiente, ésta debe de realizarse manera exhaustiva para estar en condiciones de entregar la </w:t>
      </w:r>
      <w:r w:rsidR="001355C7">
        <w:rPr>
          <w:rFonts w:ascii="Palatino Linotype" w:hAnsi="Palatino Linotype" w:cs="Arial"/>
          <w:i/>
        </w:rPr>
        <w:t xml:space="preserve">información requerida. </w:t>
      </w:r>
    </w:p>
    <w:p w:rsidR="00D76183" w:rsidRPr="00310096" w:rsidRDefault="00D76183" w:rsidP="00D76183">
      <w:pPr>
        <w:spacing w:before="240" w:after="360" w:line="360" w:lineRule="auto"/>
        <w:jc w:val="both"/>
        <w:rPr>
          <w:rFonts w:ascii="Palatino Linotype" w:hAnsi="Palatino Linotype" w:cs="Arial"/>
          <w:i/>
        </w:rPr>
      </w:pPr>
      <w:r w:rsidRPr="00310096">
        <w:rPr>
          <w:rFonts w:ascii="Palatino Linotype" w:hAnsi="Palatino Linotype" w:cs="Arial"/>
          <w:i/>
        </w:rPr>
        <w:t>Frente a un intento injustificado de negar el acceso a información existente, ello debe de ser corregido para cumplir el estándar interamericano de protección al derecho humano de acceso a l</w:t>
      </w:r>
      <w:r w:rsidR="001355C7">
        <w:rPr>
          <w:rFonts w:ascii="Palatino Linotype" w:hAnsi="Palatino Linotype" w:cs="Arial"/>
          <w:i/>
        </w:rPr>
        <w:t>a información pública.</w:t>
      </w:r>
    </w:p>
    <w:p w:rsidR="00D76183" w:rsidRPr="00310096" w:rsidRDefault="00D76183" w:rsidP="00D76183">
      <w:pPr>
        <w:spacing w:line="360" w:lineRule="auto"/>
        <w:jc w:val="both"/>
        <w:rPr>
          <w:rFonts w:ascii="Palatino Linotype" w:hAnsi="Palatino Linotype" w:cs="Arial"/>
          <w:i/>
        </w:rPr>
      </w:pPr>
      <w:r w:rsidRPr="00310096">
        <w:rPr>
          <w:rFonts w:ascii="Palatino Linotype" w:hAnsi="Palatino Linotype" w:cs="Arial"/>
          <w:i/>
        </w:rPr>
        <w:lastRenderedPageBreak/>
        <w:t>De no existir la documentación que debió, por mandato de ley, generarse, es obligación de la autoridad emitir un</w:t>
      </w:r>
      <w:r w:rsidR="001355C7">
        <w:rPr>
          <w:rFonts w:ascii="Palatino Linotype" w:hAnsi="Palatino Linotype" w:cs="Arial"/>
          <w:i/>
        </w:rPr>
        <w:t xml:space="preserve">a declaratoria formal. </w:t>
      </w:r>
    </w:p>
    <w:p w:rsidR="004E4E3E" w:rsidRDefault="004E4E3E" w:rsidP="00D76183">
      <w:pPr>
        <w:spacing w:line="360" w:lineRule="auto"/>
        <w:jc w:val="both"/>
        <w:rPr>
          <w:rFonts w:ascii="Palatino Linotype" w:hAnsi="Palatino Linotype" w:cs="Arial"/>
        </w:rPr>
      </w:pPr>
    </w:p>
    <w:sdt>
      <w:sdtPr>
        <w:rPr>
          <w:rFonts w:ascii="Times New Roman" w:eastAsia="Arial Unicode MS" w:hAnsi="Times New Roman" w:cs="Times New Roman"/>
          <w:color w:val="auto"/>
          <w:sz w:val="24"/>
          <w:bdr w:val="nil"/>
          <w:lang w:val="es-ES" w:eastAsia="en-US"/>
        </w:rPr>
        <w:id w:val="1477801459"/>
        <w:docPartObj>
          <w:docPartGallery w:val="Table of Contents"/>
          <w:docPartUnique/>
        </w:docPartObj>
      </w:sdtPr>
      <w:sdtEndPr>
        <w:rPr>
          <w:b/>
          <w:bCs/>
        </w:rPr>
      </w:sdtEndPr>
      <w:sdtContent>
        <w:p w:rsidR="00D76183" w:rsidRPr="004E4E3E" w:rsidRDefault="00D76183" w:rsidP="00C7654F">
          <w:pPr>
            <w:pStyle w:val="TtulodeTDC"/>
            <w:rPr>
              <w:rFonts w:ascii="Palatino Linotype" w:hAnsi="Palatino Linotype"/>
              <w:b/>
              <w:color w:val="0D0D0D" w:themeColor="text1" w:themeTint="F2"/>
              <w:sz w:val="24"/>
              <w:lang w:val="es-ES"/>
            </w:rPr>
          </w:pPr>
          <w:r w:rsidRPr="004E4E3E">
            <w:rPr>
              <w:rFonts w:ascii="Palatino Linotype" w:hAnsi="Palatino Linotype"/>
              <w:b/>
              <w:color w:val="0D0D0D" w:themeColor="text1" w:themeTint="F2"/>
              <w:sz w:val="24"/>
              <w:lang w:val="es-ES"/>
            </w:rPr>
            <w:t>Contenido</w:t>
          </w:r>
        </w:p>
        <w:p w:rsidR="00D76183" w:rsidRPr="00310096" w:rsidRDefault="00D76183" w:rsidP="00D76183">
          <w:pPr>
            <w:rPr>
              <w:lang w:val="es-ES" w:eastAsia="es-MX"/>
            </w:rPr>
          </w:pPr>
        </w:p>
        <w:p w:rsidR="001B364B" w:rsidRDefault="00D76183">
          <w:pPr>
            <w:pStyle w:val="TDC1"/>
            <w:rPr>
              <w:rFonts w:asciiTheme="minorHAnsi" w:eastAsiaTheme="minorEastAsia" w:hAnsiTheme="minorHAnsi" w:cstheme="minorBidi"/>
              <w:b w:val="0"/>
              <w:sz w:val="22"/>
              <w:szCs w:val="22"/>
              <w:bdr w:val="none" w:sz="0" w:space="0" w:color="auto"/>
              <w:lang w:eastAsia="es-MX"/>
            </w:rPr>
          </w:pPr>
          <w:r>
            <w:fldChar w:fldCharType="begin"/>
          </w:r>
          <w:r>
            <w:instrText xml:space="preserve"> TOC \o "1-3" \h \z \u </w:instrText>
          </w:r>
          <w:r>
            <w:fldChar w:fldCharType="separate"/>
          </w:r>
          <w:hyperlink w:anchor="_Toc1405966" w:history="1">
            <w:r w:rsidR="001B364B" w:rsidRPr="0042321D">
              <w:rPr>
                <w:rStyle w:val="Hipervnculo"/>
              </w:rPr>
              <w:t>I. Preámbulo.</w:t>
            </w:r>
            <w:r w:rsidR="001B364B">
              <w:rPr>
                <w:webHidden/>
              </w:rPr>
              <w:tab/>
            </w:r>
            <w:r w:rsidR="001B364B">
              <w:rPr>
                <w:webHidden/>
              </w:rPr>
              <w:fldChar w:fldCharType="begin"/>
            </w:r>
            <w:r w:rsidR="001B364B">
              <w:rPr>
                <w:webHidden/>
              </w:rPr>
              <w:instrText xml:space="preserve"> PAGEREF _Toc1405966 \h </w:instrText>
            </w:r>
            <w:r w:rsidR="001B364B">
              <w:rPr>
                <w:webHidden/>
              </w:rPr>
            </w:r>
            <w:r w:rsidR="001B364B">
              <w:rPr>
                <w:webHidden/>
              </w:rPr>
              <w:fldChar w:fldCharType="separate"/>
            </w:r>
            <w:r w:rsidR="0051137D">
              <w:rPr>
                <w:webHidden/>
              </w:rPr>
              <w:t>2</w:t>
            </w:r>
            <w:r w:rsidR="001B364B">
              <w:rPr>
                <w:webHidden/>
              </w:rPr>
              <w:fldChar w:fldCharType="end"/>
            </w:r>
          </w:hyperlink>
        </w:p>
        <w:p w:rsidR="001B364B" w:rsidRDefault="001B364B">
          <w:pPr>
            <w:pStyle w:val="TDC1"/>
            <w:rPr>
              <w:rFonts w:asciiTheme="minorHAnsi" w:eastAsiaTheme="minorEastAsia" w:hAnsiTheme="minorHAnsi" w:cstheme="minorBidi"/>
              <w:b w:val="0"/>
              <w:sz w:val="22"/>
              <w:szCs w:val="22"/>
              <w:bdr w:val="none" w:sz="0" w:space="0" w:color="auto"/>
              <w:lang w:eastAsia="es-MX"/>
            </w:rPr>
          </w:pPr>
          <w:hyperlink w:anchor="_Toc1405967" w:history="1">
            <w:r w:rsidRPr="0042321D">
              <w:rPr>
                <w:rStyle w:val="Hipervnculo"/>
              </w:rPr>
              <w:t>II. La Litis del recurso.</w:t>
            </w:r>
            <w:r>
              <w:rPr>
                <w:webHidden/>
              </w:rPr>
              <w:tab/>
            </w:r>
            <w:r>
              <w:rPr>
                <w:webHidden/>
              </w:rPr>
              <w:fldChar w:fldCharType="begin"/>
            </w:r>
            <w:r>
              <w:rPr>
                <w:webHidden/>
              </w:rPr>
              <w:instrText xml:space="preserve"> PAGEREF _Toc1405967 \h </w:instrText>
            </w:r>
            <w:r>
              <w:rPr>
                <w:webHidden/>
              </w:rPr>
            </w:r>
            <w:r>
              <w:rPr>
                <w:webHidden/>
              </w:rPr>
              <w:fldChar w:fldCharType="separate"/>
            </w:r>
            <w:r w:rsidR="0051137D">
              <w:rPr>
                <w:webHidden/>
              </w:rPr>
              <w:t>8</w:t>
            </w:r>
            <w:r>
              <w:rPr>
                <w:webHidden/>
              </w:rPr>
              <w:fldChar w:fldCharType="end"/>
            </w:r>
          </w:hyperlink>
        </w:p>
        <w:p w:rsidR="001B364B" w:rsidRDefault="001B364B">
          <w:pPr>
            <w:pStyle w:val="TDC1"/>
            <w:rPr>
              <w:rFonts w:asciiTheme="minorHAnsi" w:eastAsiaTheme="minorEastAsia" w:hAnsiTheme="minorHAnsi" w:cstheme="minorBidi"/>
              <w:b w:val="0"/>
              <w:sz w:val="22"/>
              <w:szCs w:val="22"/>
              <w:bdr w:val="none" w:sz="0" w:space="0" w:color="auto"/>
              <w:lang w:eastAsia="es-MX"/>
            </w:rPr>
          </w:pPr>
          <w:hyperlink w:anchor="_Toc1405968" w:history="1">
            <w:r w:rsidRPr="0042321D">
              <w:rPr>
                <w:rStyle w:val="Hipervnculo"/>
              </w:rPr>
              <w:t>III. La función de seguridad pública.</w:t>
            </w:r>
            <w:r>
              <w:rPr>
                <w:webHidden/>
              </w:rPr>
              <w:tab/>
            </w:r>
            <w:r>
              <w:rPr>
                <w:webHidden/>
              </w:rPr>
              <w:fldChar w:fldCharType="begin"/>
            </w:r>
            <w:r>
              <w:rPr>
                <w:webHidden/>
              </w:rPr>
              <w:instrText xml:space="preserve"> PAGEREF _Toc1405968 \h </w:instrText>
            </w:r>
            <w:r>
              <w:rPr>
                <w:webHidden/>
              </w:rPr>
            </w:r>
            <w:r>
              <w:rPr>
                <w:webHidden/>
              </w:rPr>
              <w:fldChar w:fldCharType="separate"/>
            </w:r>
            <w:r w:rsidR="0051137D">
              <w:rPr>
                <w:webHidden/>
              </w:rPr>
              <w:t>8</w:t>
            </w:r>
            <w:r>
              <w:rPr>
                <w:webHidden/>
              </w:rPr>
              <w:fldChar w:fldCharType="end"/>
            </w:r>
          </w:hyperlink>
        </w:p>
        <w:p w:rsidR="001B364B" w:rsidRDefault="001B364B">
          <w:pPr>
            <w:pStyle w:val="TDC1"/>
            <w:rPr>
              <w:rFonts w:asciiTheme="minorHAnsi" w:eastAsiaTheme="minorEastAsia" w:hAnsiTheme="minorHAnsi" w:cstheme="minorBidi"/>
              <w:b w:val="0"/>
              <w:sz w:val="22"/>
              <w:szCs w:val="22"/>
              <w:bdr w:val="none" w:sz="0" w:space="0" w:color="auto"/>
              <w:lang w:eastAsia="es-MX"/>
            </w:rPr>
          </w:pPr>
          <w:hyperlink w:anchor="_Toc1405969" w:history="1">
            <w:r w:rsidRPr="0042321D">
              <w:rPr>
                <w:rStyle w:val="Hipervnculo"/>
              </w:rPr>
              <w:t>IV. ¿Qué “instituciones” necesitan cumplir con un registro de seguridad?</w:t>
            </w:r>
            <w:r>
              <w:rPr>
                <w:webHidden/>
              </w:rPr>
              <w:tab/>
            </w:r>
            <w:r>
              <w:rPr>
                <w:webHidden/>
              </w:rPr>
              <w:fldChar w:fldCharType="begin"/>
            </w:r>
            <w:r>
              <w:rPr>
                <w:webHidden/>
              </w:rPr>
              <w:instrText xml:space="preserve"> PAGEREF _Toc1405969 \h </w:instrText>
            </w:r>
            <w:r>
              <w:rPr>
                <w:webHidden/>
              </w:rPr>
            </w:r>
            <w:r>
              <w:rPr>
                <w:webHidden/>
              </w:rPr>
              <w:fldChar w:fldCharType="separate"/>
            </w:r>
            <w:r w:rsidR="0051137D">
              <w:rPr>
                <w:webHidden/>
              </w:rPr>
              <w:t>10</w:t>
            </w:r>
            <w:r>
              <w:rPr>
                <w:webHidden/>
              </w:rPr>
              <w:fldChar w:fldCharType="end"/>
            </w:r>
          </w:hyperlink>
        </w:p>
        <w:p w:rsidR="001B364B" w:rsidRDefault="001B364B">
          <w:pPr>
            <w:pStyle w:val="TDC1"/>
            <w:rPr>
              <w:rFonts w:asciiTheme="minorHAnsi" w:eastAsiaTheme="minorEastAsia" w:hAnsiTheme="minorHAnsi" w:cstheme="minorBidi"/>
              <w:b w:val="0"/>
              <w:sz w:val="22"/>
              <w:szCs w:val="22"/>
              <w:bdr w:val="none" w:sz="0" w:space="0" w:color="auto"/>
              <w:lang w:eastAsia="es-MX"/>
            </w:rPr>
          </w:pPr>
          <w:hyperlink w:anchor="_Toc1405970" w:history="1">
            <w:r w:rsidRPr="0042321D">
              <w:rPr>
                <w:rStyle w:val="Hipervnculo"/>
              </w:rPr>
              <w:t>V. La naturaleza administrativa del organismo en cuestión.</w:t>
            </w:r>
            <w:r>
              <w:rPr>
                <w:webHidden/>
              </w:rPr>
              <w:tab/>
            </w:r>
            <w:r>
              <w:rPr>
                <w:webHidden/>
              </w:rPr>
              <w:fldChar w:fldCharType="begin"/>
            </w:r>
            <w:r>
              <w:rPr>
                <w:webHidden/>
              </w:rPr>
              <w:instrText xml:space="preserve"> PAGEREF _Toc1405970 \h </w:instrText>
            </w:r>
            <w:r>
              <w:rPr>
                <w:webHidden/>
              </w:rPr>
            </w:r>
            <w:r>
              <w:rPr>
                <w:webHidden/>
              </w:rPr>
              <w:fldChar w:fldCharType="separate"/>
            </w:r>
            <w:r w:rsidR="0051137D">
              <w:rPr>
                <w:webHidden/>
              </w:rPr>
              <w:t>15</w:t>
            </w:r>
            <w:r>
              <w:rPr>
                <w:webHidden/>
              </w:rPr>
              <w:fldChar w:fldCharType="end"/>
            </w:r>
          </w:hyperlink>
        </w:p>
        <w:p w:rsidR="001B364B" w:rsidRDefault="001B364B">
          <w:pPr>
            <w:pStyle w:val="TDC1"/>
            <w:rPr>
              <w:rFonts w:asciiTheme="minorHAnsi" w:eastAsiaTheme="minorEastAsia" w:hAnsiTheme="minorHAnsi" w:cstheme="minorBidi"/>
              <w:b w:val="0"/>
              <w:sz w:val="22"/>
              <w:szCs w:val="22"/>
              <w:bdr w:val="none" w:sz="0" w:space="0" w:color="auto"/>
              <w:lang w:eastAsia="es-MX"/>
            </w:rPr>
          </w:pPr>
          <w:hyperlink w:anchor="_Toc1405971" w:history="1">
            <w:r w:rsidRPr="0042321D">
              <w:rPr>
                <w:rStyle w:val="Hipervnculo"/>
              </w:rPr>
              <w:t>VI. La relación jurídica que existe entre la Secretaría de Seguridad y los Cuerpos de Seguridad Auxiliares del Estado de México.</w:t>
            </w:r>
            <w:r>
              <w:rPr>
                <w:webHidden/>
              </w:rPr>
              <w:tab/>
            </w:r>
            <w:r>
              <w:rPr>
                <w:webHidden/>
              </w:rPr>
              <w:fldChar w:fldCharType="begin"/>
            </w:r>
            <w:r>
              <w:rPr>
                <w:webHidden/>
              </w:rPr>
              <w:instrText xml:space="preserve"> PAGEREF _Toc1405971 \h </w:instrText>
            </w:r>
            <w:r>
              <w:rPr>
                <w:webHidden/>
              </w:rPr>
            </w:r>
            <w:r>
              <w:rPr>
                <w:webHidden/>
              </w:rPr>
              <w:fldChar w:fldCharType="separate"/>
            </w:r>
            <w:r w:rsidR="0051137D">
              <w:rPr>
                <w:webHidden/>
              </w:rPr>
              <w:t>19</w:t>
            </w:r>
            <w:r>
              <w:rPr>
                <w:webHidden/>
              </w:rPr>
              <w:fldChar w:fldCharType="end"/>
            </w:r>
          </w:hyperlink>
        </w:p>
        <w:p w:rsidR="001B364B" w:rsidRDefault="001B364B">
          <w:pPr>
            <w:pStyle w:val="TDC1"/>
            <w:rPr>
              <w:rFonts w:asciiTheme="minorHAnsi" w:eastAsiaTheme="minorEastAsia" w:hAnsiTheme="minorHAnsi" w:cstheme="minorBidi"/>
              <w:b w:val="0"/>
              <w:sz w:val="22"/>
              <w:szCs w:val="22"/>
              <w:bdr w:val="none" w:sz="0" w:space="0" w:color="auto"/>
              <w:lang w:eastAsia="es-MX"/>
            </w:rPr>
          </w:pPr>
          <w:hyperlink w:anchor="_Toc1405972" w:history="1">
            <w:r w:rsidRPr="0042321D">
              <w:rPr>
                <w:rStyle w:val="Hipervnculo"/>
              </w:rPr>
              <w:t>VII.  La obligación de documentar.</w:t>
            </w:r>
            <w:r>
              <w:rPr>
                <w:webHidden/>
              </w:rPr>
              <w:tab/>
            </w:r>
            <w:r>
              <w:rPr>
                <w:webHidden/>
              </w:rPr>
              <w:fldChar w:fldCharType="begin"/>
            </w:r>
            <w:r>
              <w:rPr>
                <w:webHidden/>
              </w:rPr>
              <w:instrText xml:space="preserve"> PAGEREF _Toc1405972 \h </w:instrText>
            </w:r>
            <w:r>
              <w:rPr>
                <w:webHidden/>
              </w:rPr>
            </w:r>
            <w:r>
              <w:rPr>
                <w:webHidden/>
              </w:rPr>
              <w:fldChar w:fldCharType="separate"/>
            </w:r>
            <w:r w:rsidR="0051137D">
              <w:rPr>
                <w:webHidden/>
              </w:rPr>
              <w:t>30</w:t>
            </w:r>
            <w:r>
              <w:rPr>
                <w:webHidden/>
              </w:rPr>
              <w:fldChar w:fldCharType="end"/>
            </w:r>
          </w:hyperlink>
        </w:p>
        <w:p w:rsidR="001B364B" w:rsidRPr="001B364B" w:rsidRDefault="001B364B" w:rsidP="001B364B">
          <w:pPr>
            <w:pStyle w:val="TDC2"/>
            <w:rPr>
              <w:rFonts w:eastAsiaTheme="minorEastAsia"/>
              <w:lang w:eastAsia="es-MX"/>
            </w:rPr>
          </w:pPr>
          <w:hyperlink w:anchor="_Toc1405973" w:history="1">
            <w:r w:rsidRPr="001B364B">
              <w:rPr>
                <w:rStyle w:val="Hipervnculo"/>
              </w:rPr>
              <w:t>VIII. El derecho de acceso a la información y la corrupción</w:t>
            </w:r>
            <w:r w:rsidRPr="001B364B">
              <w:rPr>
                <w:webHidden/>
              </w:rPr>
              <w:tab/>
            </w:r>
            <w:r w:rsidRPr="001B364B">
              <w:rPr>
                <w:webHidden/>
              </w:rPr>
              <w:fldChar w:fldCharType="begin"/>
            </w:r>
            <w:r w:rsidRPr="001B364B">
              <w:rPr>
                <w:webHidden/>
              </w:rPr>
              <w:instrText xml:space="preserve"> PAGEREF _Toc1405973 \h </w:instrText>
            </w:r>
            <w:r w:rsidRPr="001B364B">
              <w:rPr>
                <w:webHidden/>
              </w:rPr>
            </w:r>
            <w:r w:rsidRPr="001B364B">
              <w:rPr>
                <w:webHidden/>
              </w:rPr>
              <w:fldChar w:fldCharType="separate"/>
            </w:r>
            <w:r w:rsidR="0051137D">
              <w:rPr>
                <w:webHidden/>
              </w:rPr>
              <w:t>35</w:t>
            </w:r>
            <w:r w:rsidRPr="001B364B">
              <w:rPr>
                <w:webHidden/>
              </w:rPr>
              <w:fldChar w:fldCharType="end"/>
            </w:r>
          </w:hyperlink>
        </w:p>
        <w:p w:rsidR="001B364B" w:rsidRDefault="001B364B">
          <w:pPr>
            <w:pStyle w:val="TDC1"/>
            <w:rPr>
              <w:rFonts w:asciiTheme="minorHAnsi" w:eastAsiaTheme="minorEastAsia" w:hAnsiTheme="minorHAnsi" w:cstheme="minorBidi"/>
              <w:b w:val="0"/>
              <w:sz w:val="22"/>
              <w:szCs w:val="22"/>
              <w:bdr w:val="none" w:sz="0" w:space="0" w:color="auto"/>
              <w:lang w:eastAsia="es-MX"/>
            </w:rPr>
          </w:pPr>
          <w:hyperlink w:anchor="_Toc1405974" w:history="1">
            <w:r w:rsidRPr="0042321D">
              <w:rPr>
                <w:rStyle w:val="Hipervnculo"/>
              </w:rPr>
              <w:t>IX. Conclusión.</w:t>
            </w:r>
            <w:r>
              <w:rPr>
                <w:webHidden/>
              </w:rPr>
              <w:tab/>
            </w:r>
            <w:r>
              <w:rPr>
                <w:webHidden/>
              </w:rPr>
              <w:fldChar w:fldCharType="begin"/>
            </w:r>
            <w:r>
              <w:rPr>
                <w:webHidden/>
              </w:rPr>
              <w:instrText xml:space="preserve"> PAGEREF _Toc1405974 \h </w:instrText>
            </w:r>
            <w:r>
              <w:rPr>
                <w:webHidden/>
              </w:rPr>
            </w:r>
            <w:r>
              <w:rPr>
                <w:webHidden/>
              </w:rPr>
              <w:fldChar w:fldCharType="separate"/>
            </w:r>
            <w:r w:rsidR="0051137D">
              <w:rPr>
                <w:webHidden/>
              </w:rPr>
              <w:t>36</w:t>
            </w:r>
            <w:r>
              <w:rPr>
                <w:webHidden/>
              </w:rPr>
              <w:fldChar w:fldCharType="end"/>
            </w:r>
          </w:hyperlink>
        </w:p>
        <w:p w:rsidR="0089349F" w:rsidRPr="0089349F" w:rsidRDefault="00D76183" w:rsidP="0089349F">
          <w:pPr>
            <w:spacing w:after="160" w:line="259" w:lineRule="auto"/>
            <w:rPr>
              <w:rFonts w:asciiTheme="minorHAnsi" w:hAnsiTheme="minorHAnsi" w:cstheme="minorBidi"/>
              <w:sz w:val="22"/>
              <w:szCs w:val="22"/>
            </w:rPr>
          </w:pPr>
          <w:r>
            <w:rPr>
              <w:b/>
              <w:bCs/>
              <w:lang w:val="es-ES"/>
            </w:rPr>
            <w:fldChar w:fldCharType="end"/>
          </w:r>
        </w:p>
      </w:sdtContent>
    </w:sdt>
    <w:p w:rsidR="0089349F" w:rsidRDefault="0089349F" w:rsidP="00C7654F">
      <w:pPr>
        <w:pStyle w:val="Ttulo1"/>
      </w:pPr>
    </w:p>
    <w:p w:rsidR="00D76183" w:rsidRPr="00310096" w:rsidRDefault="001B364B" w:rsidP="00C7654F">
      <w:pPr>
        <w:pStyle w:val="Ttulo1"/>
      </w:pPr>
      <w:bookmarkStart w:id="0" w:name="_Toc1405966"/>
      <w:r>
        <w:t xml:space="preserve">I. </w:t>
      </w:r>
      <w:r w:rsidR="00D76183" w:rsidRPr="00310096">
        <w:t>Preámbulo.</w:t>
      </w:r>
      <w:bookmarkEnd w:id="0"/>
    </w:p>
    <w:p w:rsidR="00D76183" w:rsidRPr="007C7FC0" w:rsidRDefault="00D76183" w:rsidP="00D76183">
      <w:pPr>
        <w:pStyle w:val="Prrafodelista"/>
        <w:spacing w:line="360" w:lineRule="auto"/>
        <w:ind w:left="1080"/>
        <w:jc w:val="both"/>
        <w:rPr>
          <w:rFonts w:ascii="Palatino Linotype" w:hAnsi="Palatino Linotype" w:cs="Arial"/>
          <w:sz w:val="14"/>
        </w:rPr>
      </w:pPr>
    </w:p>
    <w:p w:rsidR="00D76183" w:rsidRPr="00F947E8"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826999">
        <w:rPr>
          <w:rFonts w:ascii="Palatino Linotype" w:eastAsia="Times New Roman" w:hAnsi="Palatino Linotype" w:cs="Arial"/>
          <w:lang w:val="es-ES_tradnl"/>
        </w:rPr>
        <w:t xml:space="preserve">Durante la discusión y desahogo del recurso de revisión </w:t>
      </w:r>
      <w:r>
        <w:rPr>
          <w:rFonts w:ascii="Palatino Linotype" w:eastAsia="Times New Roman" w:hAnsi="Palatino Linotype" w:cs="Arial"/>
          <w:lang w:val="es-ES_tradnl"/>
        </w:rPr>
        <w:t>en cuestión</w:t>
      </w:r>
      <w:r w:rsidRPr="00826999">
        <w:rPr>
          <w:rFonts w:ascii="Palatino Linotype" w:eastAsia="Times New Roman" w:hAnsi="Palatino Linotype" w:cs="Arial"/>
          <w:lang w:val="es-ES_tradnl"/>
        </w:rPr>
        <w:t xml:space="preserve"> </w:t>
      </w:r>
      <w:r>
        <w:rPr>
          <w:rFonts w:ascii="Palatino Linotype" w:eastAsia="Times New Roman" w:hAnsi="Palatino Linotype" w:cs="Arial"/>
          <w:lang w:val="es-ES_tradnl"/>
        </w:rPr>
        <w:t>manifesté que me apartaba del sentido y la</w:t>
      </w:r>
      <w:r w:rsidRPr="00F947E8">
        <w:rPr>
          <w:rFonts w:ascii="Palatino Linotype" w:eastAsia="Times New Roman" w:hAnsi="Palatino Linotype" w:cs="Arial"/>
          <w:lang w:val="es-ES_tradnl"/>
        </w:rPr>
        <w:t xml:space="preserve">s consideraciones </w:t>
      </w:r>
      <w:r>
        <w:rPr>
          <w:rFonts w:ascii="Palatino Linotype" w:eastAsia="Times New Roman" w:hAnsi="Palatino Linotype" w:cs="Arial"/>
          <w:lang w:val="es-ES_tradnl"/>
        </w:rPr>
        <w:t xml:space="preserve">de la resolución, </w:t>
      </w:r>
      <w:r w:rsidRPr="00F947E8">
        <w:rPr>
          <w:rFonts w:ascii="Palatino Linotype" w:eastAsia="Times New Roman" w:hAnsi="Palatino Linotype" w:cs="Arial"/>
          <w:lang w:val="es-ES_tradnl"/>
        </w:rPr>
        <w:t xml:space="preserve">anunciando el </w:t>
      </w:r>
      <w:r w:rsidRPr="00F947E8">
        <w:rPr>
          <w:rFonts w:ascii="Palatino Linotype" w:eastAsia="Times New Roman" w:hAnsi="Palatino Linotype" w:cs="Arial"/>
          <w:lang w:val="es-ES_tradnl"/>
        </w:rPr>
        <w:lastRenderedPageBreak/>
        <w:t xml:space="preserve">presente voto disidente de esta resolución emitida </w:t>
      </w:r>
      <w:r w:rsidRPr="00F947E8">
        <w:rPr>
          <w:rFonts w:ascii="Palatino Linotype" w:hAnsi="Palatino Linotype" w:cs="Arial"/>
        </w:rPr>
        <w:t xml:space="preserve">por </w:t>
      </w:r>
      <w:r>
        <w:rPr>
          <w:rFonts w:ascii="Palatino Linotype" w:hAnsi="Palatino Linotype" w:cs="Arial"/>
        </w:rPr>
        <w:t>la mayoría d</w:t>
      </w:r>
      <w:r w:rsidRPr="00F947E8">
        <w:rPr>
          <w:rFonts w:ascii="Palatino Linotype" w:hAnsi="Palatino Linotype" w:cs="Arial"/>
        </w:rPr>
        <w:t xml:space="preserve">el Pleno del Instituto de Transparencia, Acceso a la Información Pública y Protección de Datos Personales del Estado de México y Municipios, en su </w:t>
      </w:r>
      <w:r w:rsidR="00CF4B46">
        <w:rPr>
          <w:rFonts w:ascii="Palatino Linotype" w:hAnsi="Palatino Linotype" w:cs="Arial"/>
        </w:rPr>
        <w:t>sexta</w:t>
      </w:r>
      <w:r w:rsidR="00CF4B46" w:rsidRPr="00F947E8">
        <w:rPr>
          <w:rFonts w:ascii="Palatino Linotype" w:hAnsi="Palatino Linotype" w:cs="Arial"/>
        </w:rPr>
        <w:t xml:space="preserve"> </w:t>
      </w:r>
      <w:r w:rsidRPr="00F947E8">
        <w:rPr>
          <w:rFonts w:ascii="Palatino Linotype" w:hAnsi="Palatino Linotype" w:cs="Arial"/>
        </w:rPr>
        <w:t xml:space="preserve">sesión </w:t>
      </w:r>
      <w:r w:rsidR="00CF4B46">
        <w:rPr>
          <w:rFonts w:ascii="Palatino Linotype" w:hAnsi="Palatino Linotype" w:cs="Arial"/>
        </w:rPr>
        <w:t xml:space="preserve">ordinaria </w:t>
      </w:r>
      <w:r w:rsidRPr="00F947E8">
        <w:rPr>
          <w:rFonts w:ascii="Palatino Linotype" w:hAnsi="Palatino Linotype" w:cs="Arial"/>
        </w:rPr>
        <w:t>del (</w:t>
      </w:r>
      <w:r w:rsidR="00075DCE">
        <w:rPr>
          <w:rFonts w:ascii="Palatino Linotype" w:hAnsi="Palatino Linotype" w:cs="Arial"/>
        </w:rPr>
        <w:t>1</w:t>
      </w:r>
      <w:r w:rsidR="00F16984">
        <w:rPr>
          <w:rFonts w:ascii="Palatino Linotype" w:hAnsi="Palatino Linotype" w:cs="Arial"/>
        </w:rPr>
        <w:t>3</w:t>
      </w:r>
      <w:r w:rsidRPr="00F947E8">
        <w:rPr>
          <w:rFonts w:ascii="Palatino Linotype" w:hAnsi="Palatino Linotype" w:cs="Arial"/>
        </w:rPr>
        <w:t xml:space="preserve">) </w:t>
      </w:r>
      <w:r w:rsidR="00F16984">
        <w:rPr>
          <w:rFonts w:ascii="Palatino Linotype" w:hAnsi="Palatino Linotype" w:cs="Arial"/>
        </w:rPr>
        <w:t>trece</w:t>
      </w:r>
      <w:r w:rsidR="00075DCE">
        <w:rPr>
          <w:rFonts w:ascii="Palatino Linotype" w:hAnsi="Palatino Linotype" w:cs="Arial"/>
        </w:rPr>
        <w:t xml:space="preserve"> </w:t>
      </w:r>
      <w:r w:rsidRPr="00F947E8">
        <w:rPr>
          <w:rFonts w:ascii="Palatino Linotype" w:hAnsi="Palatino Linotype" w:cs="Arial"/>
        </w:rPr>
        <w:t xml:space="preserve">de </w:t>
      </w:r>
      <w:r w:rsidR="00F16984">
        <w:rPr>
          <w:rFonts w:ascii="Palatino Linotype" w:hAnsi="Palatino Linotype" w:cs="Arial"/>
        </w:rPr>
        <w:t>febrero</w:t>
      </w:r>
      <w:r w:rsidR="00191D5F">
        <w:rPr>
          <w:rFonts w:ascii="Palatino Linotype" w:hAnsi="Palatino Linotype" w:cs="Arial"/>
        </w:rPr>
        <w:t xml:space="preserve"> </w:t>
      </w:r>
      <w:r w:rsidRPr="00F947E8">
        <w:rPr>
          <w:rFonts w:ascii="Palatino Linotype" w:hAnsi="Palatino Linotype" w:cs="Arial"/>
        </w:rPr>
        <w:t xml:space="preserve">del año en curso, en el recurso promovido por </w:t>
      </w:r>
      <w:r w:rsidR="007628F9" w:rsidRPr="007628F9">
        <w:rPr>
          <w:rFonts w:ascii="Palatino Linotype" w:eastAsia="Calibri" w:hAnsi="Palatino Linotype" w:cs="Tahoma"/>
          <w:szCs w:val="22"/>
        </w:rPr>
        <w:t xml:space="preserve">una </w:t>
      </w:r>
      <w:r w:rsidR="007628F9">
        <w:rPr>
          <w:rFonts w:ascii="Palatino Linotype" w:eastAsia="Calibri" w:hAnsi="Palatino Linotype" w:cs="Tahoma"/>
          <w:szCs w:val="22"/>
        </w:rPr>
        <w:t>ciudadana</w:t>
      </w:r>
      <w:r w:rsidRPr="00F947E8">
        <w:rPr>
          <w:rFonts w:ascii="Palatino Linotype" w:hAnsi="Palatino Linotype" w:cs="Arial"/>
        </w:rPr>
        <w:t xml:space="preserve">, en contra de la respuesta de la </w:t>
      </w:r>
      <w:r w:rsidR="00191D5F">
        <w:rPr>
          <w:rFonts w:ascii="Palatino Linotype" w:hAnsi="Palatino Linotype" w:cs="Arial"/>
          <w:b/>
        </w:rPr>
        <w:t>Secretaría de Seguridad</w:t>
      </w:r>
      <w:r w:rsidRPr="00F947E8">
        <w:rPr>
          <w:rFonts w:ascii="Palatino Linotype" w:hAnsi="Palatino Linotype" w:cs="Arial"/>
        </w:rPr>
        <w:t xml:space="preserve">, procedimiento al que se le asignó el número de expediente </w:t>
      </w:r>
      <w:r w:rsidR="00191D5F">
        <w:rPr>
          <w:rFonts w:ascii="Palatino Linotype" w:hAnsi="Palatino Linotype" w:cs="Arial"/>
          <w:bCs/>
        </w:rPr>
        <w:t>0</w:t>
      </w:r>
      <w:r w:rsidR="00F16984">
        <w:rPr>
          <w:rFonts w:ascii="Palatino Linotype" w:hAnsi="Palatino Linotype" w:cs="Arial"/>
          <w:bCs/>
        </w:rPr>
        <w:t>4396</w:t>
      </w:r>
      <w:r w:rsidRPr="00F947E8">
        <w:rPr>
          <w:rFonts w:ascii="Palatino Linotype" w:hAnsi="Palatino Linotype" w:cs="Arial"/>
          <w:bCs/>
        </w:rPr>
        <w:t>/INFOEM/IP/RR/201</w:t>
      </w:r>
      <w:r w:rsidR="00075DCE">
        <w:rPr>
          <w:rFonts w:ascii="Palatino Linotype" w:hAnsi="Palatino Linotype" w:cs="Arial"/>
          <w:bCs/>
        </w:rPr>
        <w:t>8</w:t>
      </w:r>
      <w:r w:rsidRPr="00F947E8">
        <w:rPr>
          <w:rFonts w:ascii="Palatino Linotype" w:hAnsi="Palatino Linotype" w:cs="Arial"/>
        </w:rPr>
        <w:t>.</w:t>
      </w:r>
    </w:p>
    <w:p w:rsidR="00D76183" w:rsidRPr="009B0BD7" w:rsidRDefault="00D76183" w:rsidP="00D76183">
      <w:pPr>
        <w:pStyle w:val="Prrafodelista"/>
        <w:spacing w:line="360" w:lineRule="auto"/>
        <w:ind w:left="426"/>
        <w:jc w:val="both"/>
        <w:rPr>
          <w:rFonts w:ascii="Palatino Linotype" w:hAnsi="Palatino Linotype" w:cs="Arial"/>
          <w:sz w:val="18"/>
        </w:rPr>
      </w:pPr>
    </w:p>
    <w:p w:rsidR="007628F9" w:rsidRDefault="007628F9" w:rsidP="001355C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r>
        <w:rPr>
          <w:rFonts w:ascii="Palatino Linotype" w:eastAsia="Times New Roman" w:hAnsi="Palatino Linotype" w:cs="Arial"/>
        </w:rPr>
        <w:t xml:space="preserve">La respuesta </w:t>
      </w:r>
      <w:r w:rsidR="00A1127F">
        <w:rPr>
          <w:rFonts w:ascii="Palatino Linotype" w:eastAsia="Times New Roman" w:hAnsi="Palatino Linotype" w:cs="Arial"/>
        </w:rPr>
        <w:t xml:space="preserve">a la solicitud de información </w:t>
      </w:r>
      <w:r>
        <w:rPr>
          <w:rFonts w:ascii="Palatino Linotype" w:hAnsi="Palatino Linotype" w:cs="Arial"/>
        </w:rPr>
        <w:t>refir</w:t>
      </w:r>
      <w:r w:rsidR="00A1127F">
        <w:rPr>
          <w:rFonts w:ascii="Palatino Linotype" w:hAnsi="Palatino Linotype" w:cs="Arial"/>
        </w:rPr>
        <w:t>ió</w:t>
      </w:r>
      <w:r>
        <w:rPr>
          <w:rFonts w:ascii="Palatino Linotype" w:hAnsi="Palatino Linotype" w:cs="Arial"/>
        </w:rPr>
        <w:t xml:space="preserve"> la imposibilidad de proporcionar la documentación requerida en razón de que sólo existe una coordinación estrictamente de carácter operativo en situaciones de urgencia, desastre o cuando fuese necesario en apoyo de la seguridad pública, en razón de que los Cuerpos de Seguridad Auxiliar del Estado de México no dependen orgánica, presupuestal, programática, ni administrativamente del </w:t>
      </w:r>
      <w:r w:rsidRPr="002B5480">
        <w:rPr>
          <w:rFonts w:ascii="Palatino Linotype" w:hAnsi="Palatino Linotype" w:cs="Arial"/>
          <w:b/>
        </w:rPr>
        <w:t>SUJETO OBLIGADO</w:t>
      </w:r>
      <w:r w:rsidR="00D36E31">
        <w:rPr>
          <w:rFonts w:ascii="Palatino Linotype" w:hAnsi="Palatino Linotype" w:cs="Arial"/>
          <w:b/>
        </w:rPr>
        <w:t>.</w:t>
      </w:r>
    </w:p>
    <w:p w:rsidR="007628F9" w:rsidRPr="007628F9" w:rsidRDefault="007628F9" w:rsidP="007628F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p>
    <w:p w:rsidR="001355C7" w:rsidRPr="00A1127F" w:rsidRDefault="00D76183" w:rsidP="007628F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r w:rsidRPr="00826999">
        <w:rPr>
          <w:rFonts w:ascii="Palatino Linotype" w:hAnsi="Palatino Linotype" w:cs="Arial"/>
        </w:rPr>
        <w:t xml:space="preserve">La resolución </w:t>
      </w:r>
      <w:r w:rsidR="007628F9">
        <w:rPr>
          <w:rFonts w:ascii="Palatino Linotype" w:hAnsi="Palatino Linotype" w:cs="Arial"/>
        </w:rPr>
        <w:t xml:space="preserve">del recurso de </w:t>
      </w:r>
      <w:r w:rsidR="007628F9" w:rsidRPr="007628F9">
        <w:rPr>
          <w:rFonts w:ascii="Palatino Linotype" w:hAnsi="Palatino Linotype" w:cs="Arial"/>
        </w:rPr>
        <w:t>revisi</w:t>
      </w:r>
      <w:r w:rsidR="00D36E31">
        <w:rPr>
          <w:rFonts w:ascii="Palatino Linotype" w:hAnsi="Palatino Linotype" w:cs="Arial"/>
        </w:rPr>
        <w:t>ón</w:t>
      </w:r>
      <w:r w:rsidR="007628F9" w:rsidRPr="007628F9">
        <w:rPr>
          <w:rFonts w:ascii="Palatino Linotype" w:hAnsi="Palatino Linotype" w:cs="Arial"/>
        </w:rPr>
        <w:t xml:space="preserve"> </w:t>
      </w:r>
      <w:r w:rsidRPr="007628F9">
        <w:rPr>
          <w:rFonts w:ascii="Palatino Linotype" w:hAnsi="Palatino Linotype" w:cs="Arial"/>
        </w:rPr>
        <w:t xml:space="preserve">aprobada </w:t>
      </w:r>
      <w:r w:rsidR="007628F9" w:rsidRPr="007628F9">
        <w:rPr>
          <w:rFonts w:ascii="Palatino Linotype" w:hAnsi="Palatino Linotype" w:cs="Arial"/>
        </w:rPr>
        <w:t xml:space="preserve">por la mayoría del Pleno </w:t>
      </w:r>
      <w:r w:rsidRPr="007628F9">
        <w:rPr>
          <w:rFonts w:ascii="Palatino Linotype" w:hAnsi="Palatino Linotype" w:cs="Arial"/>
        </w:rPr>
        <w:t xml:space="preserve">determinó </w:t>
      </w:r>
      <w:r w:rsidR="00F16984" w:rsidRPr="007628F9">
        <w:rPr>
          <w:rFonts w:ascii="Palatino Linotype" w:hAnsi="Palatino Linotype" w:cs="Arial"/>
          <w:b/>
        </w:rPr>
        <w:t>REVOCAR</w:t>
      </w:r>
      <w:r w:rsidR="001355C7" w:rsidRPr="007628F9">
        <w:rPr>
          <w:rFonts w:ascii="Palatino Linotype" w:hAnsi="Palatino Linotype" w:cs="Arial"/>
        </w:rPr>
        <w:t xml:space="preserve"> </w:t>
      </w:r>
      <w:r w:rsidR="00191D5F" w:rsidRPr="007628F9">
        <w:rPr>
          <w:rFonts w:ascii="Palatino Linotype" w:hAnsi="Palatino Linotype" w:cs="Arial"/>
        </w:rPr>
        <w:t>la respuesta del Sujeto Obligado</w:t>
      </w:r>
      <w:r w:rsidR="007628F9" w:rsidRPr="007628F9">
        <w:rPr>
          <w:rFonts w:ascii="Palatino Linotype" w:hAnsi="Palatino Linotype" w:cs="Arial"/>
        </w:rPr>
        <w:t xml:space="preserve"> y ordenó la previa búsqueda exhaustiva y razonable de la información relacionada con la solicitud, que constituya un requisito para el registro como institución</w:t>
      </w:r>
      <w:r w:rsidR="00B60B75">
        <w:rPr>
          <w:rFonts w:ascii="Palatino Linotype" w:hAnsi="Palatino Linotype" w:cs="Arial"/>
        </w:rPr>
        <w:t xml:space="preserve"> de seguridad, y en caso de no contar con la información solicitada en términos generales lo hiciera del conocimiento del particular.</w:t>
      </w:r>
    </w:p>
    <w:p w:rsidR="00A1127F" w:rsidRPr="00A1127F" w:rsidRDefault="00A1127F" w:rsidP="00A1127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p>
    <w:p w:rsidR="00A1127F" w:rsidRPr="003317A7" w:rsidRDefault="00A1127F" w:rsidP="007628F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r>
        <w:rPr>
          <w:rFonts w:ascii="Palatino Linotype" w:hAnsi="Palatino Linotype" w:cs="Arial"/>
        </w:rPr>
        <w:t xml:space="preserve">Sin embargo, en </w:t>
      </w:r>
      <w:r w:rsidR="003317A7">
        <w:rPr>
          <w:rFonts w:ascii="Palatino Linotype" w:hAnsi="Palatino Linotype" w:cs="Arial"/>
        </w:rPr>
        <w:t>l</w:t>
      </w:r>
      <w:r w:rsidR="00D36E31">
        <w:rPr>
          <w:rFonts w:ascii="Palatino Linotype" w:hAnsi="Palatino Linotype" w:cs="Arial"/>
        </w:rPr>
        <w:t xml:space="preserve">a resolución </w:t>
      </w:r>
      <w:r w:rsidR="001F5972">
        <w:rPr>
          <w:rFonts w:ascii="Palatino Linotype" w:hAnsi="Palatino Linotype" w:cs="Arial"/>
        </w:rPr>
        <w:t xml:space="preserve">aprobada </w:t>
      </w:r>
      <w:r w:rsidR="00D36E31">
        <w:rPr>
          <w:rFonts w:ascii="Palatino Linotype" w:hAnsi="Palatino Linotype" w:cs="Arial"/>
        </w:rPr>
        <w:t xml:space="preserve">no se da certeza si se refiere a </w:t>
      </w:r>
      <w:r w:rsidR="001F5972">
        <w:rPr>
          <w:rFonts w:ascii="Palatino Linotype" w:hAnsi="Palatino Linotype" w:cs="Arial"/>
        </w:rPr>
        <w:t>los C</w:t>
      </w:r>
      <w:r w:rsidR="00D36E31">
        <w:rPr>
          <w:rFonts w:ascii="Palatino Linotype" w:hAnsi="Palatino Linotype" w:cs="Arial"/>
        </w:rPr>
        <w:t xml:space="preserve">uerpos de Seguridad Auxiliares del Estado de México (CUSAEM) como empresa privada </w:t>
      </w:r>
      <w:r w:rsidR="00D36E31">
        <w:rPr>
          <w:rFonts w:ascii="Palatino Linotype" w:hAnsi="Palatino Linotype" w:cs="Arial"/>
        </w:rPr>
        <w:lastRenderedPageBreak/>
        <w:t>o institución pública</w:t>
      </w:r>
      <w:r w:rsidR="00B60B75">
        <w:rPr>
          <w:rFonts w:ascii="Palatino Linotype" w:hAnsi="Palatino Linotype" w:cs="Arial"/>
        </w:rPr>
        <w:t>; por lo tanto, ante la falta de certeza, y en virtud de que se trata de un organismo auxiliar público, en caso de no contar con la información solicitada, en su defecto se debió ordenar la declaración formal de inexistencia.</w:t>
      </w:r>
    </w:p>
    <w:p w:rsidR="003317A7" w:rsidRPr="00D36E31" w:rsidRDefault="003317A7" w:rsidP="003317A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p>
    <w:p w:rsidR="00B179F5" w:rsidRDefault="00B60B75" w:rsidP="003D7D5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r>
        <w:rPr>
          <w:rFonts w:ascii="Palatino Linotype" w:eastAsia="Times New Roman" w:hAnsi="Palatino Linotype" w:cs="Arial"/>
        </w:rPr>
        <w:t>Lo anterior derivado de</w:t>
      </w:r>
      <w:r w:rsidR="00B179F5" w:rsidRPr="008B1C5D">
        <w:rPr>
          <w:rFonts w:ascii="Palatino Linotype" w:eastAsia="Times New Roman" w:hAnsi="Palatino Linotype" w:cs="Arial"/>
        </w:rPr>
        <w:t xml:space="preserve"> que cuando se entregó en trabajos previos a la sesión ordinaria de Pleno, </w:t>
      </w:r>
      <w:r>
        <w:rPr>
          <w:rFonts w:ascii="Palatino Linotype" w:eastAsia="Times New Roman" w:hAnsi="Palatino Linotype" w:cs="Arial"/>
        </w:rPr>
        <w:t xml:space="preserve">en </w:t>
      </w:r>
      <w:r w:rsidR="00B179F5" w:rsidRPr="008B1C5D">
        <w:rPr>
          <w:rFonts w:ascii="Palatino Linotype" w:eastAsia="Times New Roman" w:hAnsi="Palatino Linotype" w:cs="Arial"/>
        </w:rPr>
        <w:t xml:space="preserve">el proyecto inicial de resolución que resolvía el recurso de revisión en cuestión, </w:t>
      </w:r>
      <w:r w:rsidR="008B1C5D" w:rsidRPr="008B1C5D">
        <w:rPr>
          <w:rFonts w:ascii="Palatino Linotype" w:eastAsia="Times New Roman" w:hAnsi="Palatino Linotype" w:cs="Arial"/>
        </w:rPr>
        <w:t xml:space="preserve">existían apartados y términos utilizados, </w:t>
      </w:r>
      <w:r>
        <w:rPr>
          <w:rFonts w:ascii="Palatino Linotype" w:eastAsia="Times New Roman" w:hAnsi="Palatino Linotype" w:cs="Arial"/>
        </w:rPr>
        <w:t xml:space="preserve">mismos que </w:t>
      </w:r>
      <w:r w:rsidR="008B1C5D" w:rsidRPr="008B1C5D">
        <w:rPr>
          <w:rFonts w:ascii="Palatino Linotype" w:eastAsia="Times New Roman" w:hAnsi="Palatino Linotype" w:cs="Arial"/>
        </w:rPr>
        <w:t>fueron</w:t>
      </w:r>
      <w:r w:rsidR="00B179F5" w:rsidRPr="008B1C5D">
        <w:rPr>
          <w:rFonts w:ascii="Palatino Linotype" w:eastAsia="Times New Roman" w:hAnsi="Palatino Linotype" w:cs="Arial"/>
        </w:rPr>
        <w:t xml:space="preserve"> elimina</w:t>
      </w:r>
      <w:r w:rsidR="008B1C5D" w:rsidRPr="008B1C5D">
        <w:rPr>
          <w:rFonts w:ascii="Palatino Linotype" w:eastAsia="Times New Roman" w:hAnsi="Palatino Linotype" w:cs="Arial"/>
        </w:rPr>
        <w:t>dos</w:t>
      </w:r>
      <w:r w:rsidR="00B179F5" w:rsidRPr="008B1C5D">
        <w:rPr>
          <w:rFonts w:ascii="Palatino Linotype" w:eastAsia="Times New Roman" w:hAnsi="Palatino Linotype" w:cs="Arial"/>
        </w:rPr>
        <w:t xml:space="preserve"> y sustitu</w:t>
      </w:r>
      <w:r w:rsidR="008B1C5D" w:rsidRPr="008B1C5D">
        <w:rPr>
          <w:rFonts w:ascii="Palatino Linotype" w:eastAsia="Times New Roman" w:hAnsi="Palatino Linotype" w:cs="Arial"/>
        </w:rPr>
        <w:t xml:space="preserve">idos en un nuevo proyecto que se presentó antes de iniciar la sexta sesión ordinaria de Pleno </w:t>
      </w:r>
      <w:r>
        <w:rPr>
          <w:rFonts w:ascii="Palatino Linotype" w:eastAsia="Times New Roman" w:hAnsi="Palatino Linotype" w:cs="Arial"/>
        </w:rPr>
        <w:t>d</w:t>
      </w:r>
      <w:r w:rsidR="008B1C5D" w:rsidRPr="008B1C5D">
        <w:rPr>
          <w:rFonts w:ascii="Palatino Linotype" w:eastAsia="Times New Roman" w:hAnsi="Palatino Linotype" w:cs="Arial"/>
        </w:rPr>
        <w:t>el trece (13) de febrero del año en curso.</w:t>
      </w:r>
      <w:r w:rsidR="00B179F5" w:rsidRPr="008B1C5D">
        <w:rPr>
          <w:rFonts w:ascii="Palatino Linotype" w:eastAsia="Times New Roman" w:hAnsi="Palatino Linotype" w:cs="Arial"/>
        </w:rPr>
        <w:t xml:space="preserve"> </w:t>
      </w:r>
    </w:p>
    <w:p w:rsidR="008B1C5D" w:rsidRPr="008B1C5D" w:rsidRDefault="008B1C5D" w:rsidP="008B1C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p>
    <w:p w:rsidR="008B1C5D" w:rsidRDefault="001B364B" w:rsidP="003D7D5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r>
        <w:rPr>
          <w:rFonts w:ascii="Palatino Linotype" w:eastAsia="Times New Roman" w:hAnsi="Palatino Linotype" w:cs="Arial"/>
          <w:noProof/>
          <w:bdr w:val="none" w:sz="0" w:space="0" w:color="auto"/>
          <w:lang w:eastAsia="es-MX"/>
        </w:rPr>
        <mc:AlternateContent>
          <mc:Choice Requires="wps">
            <w:drawing>
              <wp:anchor distT="0" distB="0" distL="114300" distR="114300" simplePos="0" relativeHeight="251660288" behindDoc="0" locked="0" layoutInCell="1" allowOverlap="1">
                <wp:simplePos x="0" y="0"/>
                <wp:positionH relativeFrom="column">
                  <wp:posOffset>120015</wp:posOffset>
                </wp:positionH>
                <wp:positionV relativeFrom="paragraph">
                  <wp:posOffset>817880</wp:posOffset>
                </wp:positionV>
                <wp:extent cx="5572125" cy="37528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572125" cy="3752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CB6DD"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64.4pt" to="448.2pt,3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" strokecolor="black [3200]" strokeweight=".5pt">
                <v:stroke joinstyle="miter"/>
              </v:line>
            </w:pict>
          </mc:Fallback>
        </mc:AlternateContent>
      </w:r>
      <w:r w:rsidR="008B1C5D">
        <w:rPr>
          <w:rFonts w:ascii="Palatino Linotype" w:eastAsia="Times New Roman" w:hAnsi="Palatino Linotype" w:cs="Arial"/>
        </w:rPr>
        <w:t>Constituye prueba de lo precisado en el párrafo que antecede, el dictamen del proyecto inicial de la resolución del recurso de revisión en mérito, como se muestra en la siguiente imagen:</w:t>
      </w:r>
    </w:p>
    <w:p w:rsidR="008B1C5D" w:rsidRDefault="00950234" w:rsidP="008B1C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r>
        <w:rPr>
          <w:rFonts w:ascii="Palatino Linotype" w:eastAsia="Times New Roman" w:hAnsi="Palatino Linotype" w:cs="Arial"/>
          <w:noProof/>
          <w:lang w:eastAsia="es-MX"/>
        </w:rPr>
        <w:lastRenderedPageBreak/>
        <w:drawing>
          <wp:inline distT="0" distB="0" distL="0" distR="0">
            <wp:extent cx="5695950" cy="65055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6505575"/>
                    </a:xfrm>
                    <a:prstGeom prst="rect">
                      <a:avLst/>
                    </a:prstGeom>
                    <a:noFill/>
                    <a:ln>
                      <a:noFill/>
                    </a:ln>
                  </pic:spPr>
                </pic:pic>
              </a:graphicData>
            </a:graphic>
          </wp:inline>
        </w:drawing>
      </w:r>
    </w:p>
    <w:p w:rsidR="008B1C5D" w:rsidRDefault="00950234" w:rsidP="008B1C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r>
        <w:rPr>
          <w:rFonts w:ascii="Palatino Linotype" w:eastAsia="Times New Roman" w:hAnsi="Palatino Linotype" w:cs="Arial"/>
          <w:noProof/>
          <w:lang w:eastAsia="es-MX"/>
        </w:rPr>
        <w:lastRenderedPageBreak/>
        <w:drawing>
          <wp:inline distT="0" distB="0" distL="0" distR="0">
            <wp:extent cx="5334000" cy="60864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6086475"/>
                    </a:xfrm>
                    <a:prstGeom prst="rect">
                      <a:avLst/>
                    </a:prstGeom>
                    <a:noFill/>
                    <a:ln>
                      <a:noFill/>
                    </a:ln>
                  </pic:spPr>
                </pic:pic>
              </a:graphicData>
            </a:graphic>
          </wp:inline>
        </w:drawing>
      </w:r>
    </w:p>
    <w:p w:rsidR="008B1C5D" w:rsidRDefault="008B1C5D" w:rsidP="008B1C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p>
    <w:p w:rsidR="003317A7" w:rsidRPr="00B179F5" w:rsidRDefault="00B60B75" w:rsidP="003D7D5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r>
        <w:rPr>
          <w:rFonts w:ascii="Palatino Linotype" w:hAnsi="Palatino Linotype" w:cs="Arial"/>
        </w:rPr>
        <w:lastRenderedPageBreak/>
        <w:t>Como se puede apreciar de las imágenes insertas,</w:t>
      </w:r>
      <w:r w:rsidR="003317A7" w:rsidRPr="00B179F5">
        <w:rPr>
          <w:rFonts w:ascii="Palatino Linotype" w:hAnsi="Palatino Linotype" w:cs="Arial"/>
        </w:rPr>
        <w:t xml:space="preserve"> en el </w:t>
      </w:r>
      <w:r w:rsidR="00D36E31" w:rsidRPr="00B179F5">
        <w:rPr>
          <w:rFonts w:ascii="Palatino Linotype" w:hAnsi="Palatino Linotype" w:cs="Arial"/>
        </w:rPr>
        <w:t>proyecto</w:t>
      </w:r>
      <w:r w:rsidR="003D7D50" w:rsidRPr="00B179F5">
        <w:rPr>
          <w:rFonts w:ascii="Palatino Linotype" w:hAnsi="Palatino Linotype" w:cs="Arial"/>
        </w:rPr>
        <w:t xml:space="preserve"> aprobado por la mayoría del Pleno, se sustituyó</w:t>
      </w:r>
      <w:r w:rsidR="003317A7" w:rsidRPr="00B179F5">
        <w:rPr>
          <w:rFonts w:ascii="Palatino Linotype" w:hAnsi="Palatino Linotype" w:cs="Arial"/>
        </w:rPr>
        <w:t xml:space="preserve"> </w:t>
      </w:r>
      <w:r>
        <w:rPr>
          <w:rFonts w:ascii="Palatino Linotype" w:hAnsi="Palatino Linotype" w:cs="Arial"/>
        </w:rPr>
        <w:t xml:space="preserve">en </w:t>
      </w:r>
      <w:r w:rsidR="003317A7" w:rsidRPr="00B179F5">
        <w:rPr>
          <w:rFonts w:ascii="Palatino Linotype" w:hAnsi="Palatino Linotype" w:cs="Arial"/>
        </w:rPr>
        <w:t xml:space="preserve">resolutivos el término “empresa privada” por “institución”, </w:t>
      </w:r>
      <w:r w:rsidR="00B179F5" w:rsidRPr="00B179F5">
        <w:rPr>
          <w:rFonts w:ascii="Palatino Linotype" w:hAnsi="Palatino Linotype" w:cs="Arial"/>
        </w:rPr>
        <w:t xml:space="preserve">criterio que no comparto, ya que </w:t>
      </w:r>
      <w:r w:rsidR="00950234">
        <w:rPr>
          <w:rFonts w:ascii="Palatino Linotype" w:hAnsi="Palatino Linotype" w:cs="Arial"/>
        </w:rPr>
        <w:t xml:space="preserve">el CUSAEM </w:t>
      </w:r>
      <w:r w:rsidR="00B179F5" w:rsidRPr="00B179F5">
        <w:rPr>
          <w:rFonts w:ascii="Palatino Linotype" w:hAnsi="Palatino Linotype" w:cs="Arial"/>
        </w:rPr>
        <w:t xml:space="preserve">es un organismo auxiliar del Estado, del cual el </w:t>
      </w:r>
      <w:r w:rsidR="00B179F5" w:rsidRPr="00B179F5">
        <w:rPr>
          <w:rFonts w:ascii="Palatino Linotype" w:hAnsi="Palatino Linotype" w:cs="Arial"/>
          <w:b/>
        </w:rPr>
        <w:t>SUJETO OBLIGADO</w:t>
      </w:r>
      <w:r w:rsidR="00B179F5" w:rsidRPr="00B179F5">
        <w:rPr>
          <w:rFonts w:ascii="Palatino Linotype" w:hAnsi="Palatino Linotype" w:cs="Arial"/>
        </w:rPr>
        <w:t xml:space="preserve"> tiene dentro de sus atribuciones llevar el control y registro</w:t>
      </w:r>
      <w:r w:rsidR="00950234">
        <w:rPr>
          <w:rFonts w:ascii="Palatino Linotype" w:hAnsi="Palatino Linotype" w:cs="Arial"/>
        </w:rPr>
        <w:t xml:space="preserve"> de su personal</w:t>
      </w:r>
      <w:r w:rsidR="00B179F5" w:rsidRPr="00B179F5">
        <w:rPr>
          <w:rFonts w:ascii="Palatino Linotype" w:hAnsi="Palatino Linotype" w:cs="Arial"/>
        </w:rPr>
        <w:t xml:space="preserve">, además que esta </w:t>
      </w:r>
      <w:r w:rsidR="00B179F5">
        <w:rPr>
          <w:rFonts w:ascii="Palatino Linotype" w:hAnsi="Palatino Linotype" w:cs="Arial"/>
        </w:rPr>
        <w:t>resolución</w:t>
      </w:r>
      <w:r w:rsidR="00B179F5" w:rsidRPr="00B179F5">
        <w:rPr>
          <w:rFonts w:ascii="Palatino Linotype" w:hAnsi="Palatino Linotype" w:cs="Arial"/>
        </w:rPr>
        <w:t xml:space="preserve"> </w:t>
      </w:r>
      <w:r w:rsidR="003317A7" w:rsidRPr="00B179F5">
        <w:rPr>
          <w:rFonts w:ascii="Palatino Linotype" w:hAnsi="Palatino Linotype" w:cs="Arial"/>
        </w:rPr>
        <w:t>no otorga seguridad y cert</w:t>
      </w:r>
      <w:r w:rsidR="003D7D50" w:rsidRPr="00B179F5">
        <w:rPr>
          <w:rFonts w:ascii="Palatino Linotype" w:hAnsi="Palatino Linotype" w:cs="Arial"/>
        </w:rPr>
        <w:t xml:space="preserve">idumbre </w:t>
      </w:r>
      <w:r w:rsidR="003317A7" w:rsidRPr="00B179F5">
        <w:rPr>
          <w:rFonts w:ascii="Palatino Linotype" w:hAnsi="Palatino Linotype" w:cs="Arial"/>
        </w:rPr>
        <w:t xml:space="preserve">jurídica a los particulares en las determinaciones </w:t>
      </w:r>
      <w:r w:rsidR="003D7D50" w:rsidRPr="00B179F5">
        <w:rPr>
          <w:rFonts w:ascii="Palatino Linotype" w:hAnsi="Palatino Linotype" w:cs="Arial"/>
        </w:rPr>
        <w:t xml:space="preserve">que dicta este Órgano Garante bajo los principios de certeza, legalidad y objetividad establecidos en el artículo 9, fracciones I, VI y VIII de la Ley de Transparencia y Acceso a la Información Pública del Estado de México y </w:t>
      </w:r>
      <w:r w:rsidR="0001763B" w:rsidRPr="00B179F5">
        <w:rPr>
          <w:rFonts w:ascii="Palatino Linotype" w:hAnsi="Palatino Linotype" w:cs="Arial"/>
        </w:rPr>
        <w:t>Municipios</w:t>
      </w:r>
      <w:r w:rsidR="003317A7" w:rsidRPr="00B179F5">
        <w:rPr>
          <w:rFonts w:ascii="Palatino Linotype" w:hAnsi="Palatino Linotype" w:cs="Arial"/>
        </w:rPr>
        <w:t xml:space="preserve">. </w:t>
      </w:r>
    </w:p>
    <w:p w:rsidR="003D7D50" w:rsidRPr="003D7D50" w:rsidRDefault="003D7D50" w:rsidP="003D7D5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p>
    <w:p w:rsidR="003D7D50" w:rsidRPr="002547BA" w:rsidRDefault="003D7D50" w:rsidP="003D7D5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r w:rsidRPr="002547BA">
        <w:rPr>
          <w:rFonts w:ascii="Palatino Linotype" w:hAnsi="Palatino Linotype" w:cs="Arial"/>
        </w:rPr>
        <w:t xml:space="preserve">Además, en el proyecto inicial se ordenaba la declaración de inexistencia de la información, en el supuesto de que el </w:t>
      </w:r>
      <w:r w:rsidRPr="002547BA">
        <w:rPr>
          <w:rFonts w:ascii="Palatino Linotype" w:hAnsi="Palatino Linotype" w:cs="Arial"/>
          <w:b/>
        </w:rPr>
        <w:t>SUJETO OBLIGADO</w:t>
      </w:r>
      <w:r w:rsidRPr="002547BA">
        <w:rPr>
          <w:rFonts w:ascii="Palatino Linotype" w:hAnsi="Palatino Linotype" w:cs="Arial"/>
        </w:rPr>
        <w:t xml:space="preserve"> no contará con la informaci</w:t>
      </w:r>
      <w:r w:rsidR="00B179F5" w:rsidRPr="002547BA">
        <w:rPr>
          <w:rFonts w:ascii="Palatino Linotype" w:hAnsi="Palatino Linotype" w:cs="Arial"/>
        </w:rPr>
        <w:t xml:space="preserve">ón solicitada, </w:t>
      </w:r>
      <w:r w:rsidR="00B60B75" w:rsidRPr="002547BA">
        <w:rPr>
          <w:rFonts w:ascii="Palatino Linotype" w:hAnsi="Palatino Linotype" w:cs="Arial"/>
        </w:rPr>
        <w:t xml:space="preserve">derivado de las atribuciones que este tiene para generar, administrar y/o poseer la información solicitada, </w:t>
      </w:r>
      <w:r w:rsidR="00B179F5" w:rsidRPr="002547BA">
        <w:rPr>
          <w:rFonts w:ascii="Palatino Linotype" w:hAnsi="Palatino Linotype" w:cs="Arial"/>
        </w:rPr>
        <w:t>lo cual</w:t>
      </w:r>
      <w:r w:rsidRPr="002547BA">
        <w:rPr>
          <w:rFonts w:ascii="Palatino Linotype" w:hAnsi="Palatino Linotype" w:cs="Arial"/>
        </w:rPr>
        <w:t xml:space="preserve"> en </w:t>
      </w:r>
      <w:r w:rsidR="002547BA" w:rsidRPr="002547BA">
        <w:rPr>
          <w:rFonts w:ascii="Palatino Linotype" w:hAnsi="Palatino Linotype" w:cs="Arial"/>
        </w:rPr>
        <w:t>la</w:t>
      </w:r>
      <w:r w:rsidRPr="002547BA">
        <w:rPr>
          <w:rFonts w:ascii="Palatino Linotype" w:hAnsi="Palatino Linotype" w:cs="Arial"/>
        </w:rPr>
        <w:t xml:space="preserve"> resoluci</w:t>
      </w:r>
      <w:r w:rsidR="00B179F5" w:rsidRPr="002547BA">
        <w:rPr>
          <w:rFonts w:ascii="Palatino Linotype" w:hAnsi="Palatino Linotype" w:cs="Arial"/>
        </w:rPr>
        <w:t>ón aprobad</w:t>
      </w:r>
      <w:r w:rsidR="002547BA" w:rsidRPr="002547BA">
        <w:rPr>
          <w:rFonts w:ascii="Palatino Linotype" w:hAnsi="Palatino Linotype" w:cs="Arial"/>
        </w:rPr>
        <w:t>a</w:t>
      </w:r>
      <w:r w:rsidRPr="002547BA">
        <w:rPr>
          <w:rFonts w:ascii="Palatino Linotype" w:hAnsi="Palatino Linotype" w:cs="Arial"/>
        </w:rPr>
        <w:t xml:space="preserve"> se eliminó </w:t>
      </w:r>
      <w:r w:rsidR="0001763B" w:rsidRPr="002547BA">
        <w:rPr>
          <w:rFonts w:ascii="Palatino Linotype" w:hAnsi="Palatino Linotype" w:cs="Arial"/>
        </w:rPr>
        <w:t xml:space="preserve">sustituyéndolo por el simple pronunciamiento de la autoridad, </w:t>
      </w:r>
      <w:r w:rsidR="00B179F5" w:rsidRPr="002547BA">
        <w:rPr>
          <w:rFonts w:ascii="Palatino Linotype" w:hAnsi="Palatino Linotype" w:cs="Arial"/>
        </w:rPr>
        <w:t>mediante</w:t>
      </w:r>
      <w:r w:rsidR="0001763B" w:rsidRPr="002547BA">
        <w:rPr>
          <w:rFonts w:ascii="Palatino Linotype" w:hAnsi="Palatino Linotype" w:cs="Arial"/>
        </w:rPr>
        <w:t xml:space="preserve"> hacer del conocimiento </w:t>
      </w:r>
      <w:r w:rsidR="002547BA" w:rsidRPr="002547BA">
        <w:rPr>
          <w:rFonts w:ascii="Palatino Linotype" w:hAnsi="Palatino Linotype" w:cs="Arial"/>
        </w:rPr>
        <w:t xml:space="preserve">en términos generales </w:t>
      </w:r>
      <w:r w:rsidR="00B179F5" w:rsidRPr="002547BA">
        <w:rPr>
          <w:rFonts w:ascii="Palatino Linotype" w:hAnsi="Palatino Linotype" w:cs="Arial"/>
        </w:rPr>
        <w:t>a la</w:t>
      </w:r>
      <w:r w:rsidR="0001763B" w:rsidRPr="002547BA">
        <w:rPr>
          <w:rFonts w:ascii="Palatino Linotype" w:hAnsi="Palatino Linotype" w:cs="Arial"/>
        </w:rPr>
        <w:t xml:space="preserve"> particular </w:t>
      </w:r>
      <w:r w:rsidR="00B179F5" w:rsidRPr="002547BA">
        <w:rPr>
          <w:rFonts w:ascii="Palatino Linotype" w:hAnsi="Palatino Linotype" w:cs="Arial"/>
        </w:rPr>
        <w:t>las razones por las cuales no cuenta con la informaci</w:t>
      </w:r>
      <w:r w:rsidR="002547BA" w:rsidRPr="002547BA">
        <w:rPr>
          <w:rFonts w:ascii="Palatino Linotype" w:hAnsi="Palatino Linotype" w:cs="Arial"/>
        </w:rPr>
        <w:t xml:space="preserve">ón; </w:t>
      </w:r>
      <w:r w:rsidR="00950234" w:rsidRPr="002547BA">
        <w:rPr>
          <w:rFonts w:ascii="Palatino Linotype" w:hAnsi="Palatino Linotype" w:cs="Arial"/>
        </w:rPr>
        <w:t xml:space="preserve">actuar que como organismos encargados de garantizar y tutelar el derecho de acceso a la información pública no es </w:t>
      </w:r>
      <w:r w:rsidR="002547BA">
        <w:rPr>
          <w:rFonts w:ascii="Palatino Linotype" w:hAnsi="Palatino Linotype" w:cs="Arial"/>
        </w:rPr>
        <w:t xml:space="preserve">el </w:t>
      </w:r>
      <w:r w:rsidR="00950234" w:rsidRPr="002547BA">
        <w:rPr>
          <w:rFonts w:ascii="Palatino Linotype" w:hAnsi="Palatino Linotype" w:cs="Arial"/>
        </w:rPr>
        <w:t>correcto.</w:t>
      </w:r>
    </w:p>
    <w:p w:rsidR="00B179F5" w:rsidRPr="00B179F5" w:rsidRDefault="00B179F5" w:rsidP="00B179F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Times New Roman" w:hAnsi="Palatino Linotype" w:cs="Arial"/>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826999">
        <w:rPr>
          <w:rFonts w:ascii="Palatino Linotype" w:hAnsi="Palatino Linotype" w:cs="Arial"/>
        </w:rPr>
        <w:lastRenderedPageBreak/>
        <w:t xml:space="preserve">Por tal motivo y en términos de lo señalado por </w:t>
      </w:r>
      <w:r w:rsidR="001355C7">
        <w:rPr>
          <w:rFonts w:ascii="Palatino Linotype" w:hAnsi="Palatino Linotype" w:cs="Arial"/>
        </w:rPr>
        <w:t>en el artículo 14 fracción XI</w:t>
      </w:r>
      <w:r w:rsidRPr="00826999">
        <w:rPr>
          <w:rFonts w:ascii="Palatino Linotype" w:hAnsi="Palatino Linotype" w:cs="Arial"/>
        </w:rPr>
        <w:t xml:space="preserve"> del </w:t>
      </w:r>
      <w:r w:rsidRPr="00D41242">
        <w:rPr>
          <w:rFonts w:ascii="Palatino Linotype" w:hAnsi="Palatino Linotype" w:cs="Arial"/>
          <w:b/>
        </w:rPr>
        <w:t>Reglamento Interior del Instituto de Transparencia y Acceso a la Información Pública del Estado de México y Municipios</w:t>
      </w:r>
      <w:r w:rsidRPr="00826999">
        <w:rPr>
          <w:rFonts w:ascii="Palatino Linotype" w:hAnsi="Palatino Linotype" w:cs="Arial"/>
        </w:rPr>
        <w:t xml:space="preserve"> formulo el presente voto disidente. </w:t>
      </w:r>
    </w:p>
    <w:p w:rsidR="009B0BD7" w:rsidRPr="009B0BD7" w:rsidRDefault="009B0BD7" w:rsidP="009B0BD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sz w:val="14"/>
        </w:rPr>
      </w:pPr>
    </w:p>
    <w:p w:rsidR="00D76183" w:rsidRDefault="00D76183" w:rsidP="00C7654F">
      <w:pPr>
        <w:pStyle w:val="Ttulo1"/>
      </w:pPr>
      <w:bookmarkStart w:id="1" w:name="_Toc1405967"/>
      <w:r w:rsidRPr="00C7654F">
        <w:t>II. La Litis del recurso.</w:t>
      </w:r>
      <w:bookmarkEnd w:id="1"/>
    </w:p>
    <w:p w:rsidR="007C7FC0" w:rsidRPr="007C7FC0" w:rsidRDefault="007C7FC0" w:rsidP="007C7FC0"/>
    <w:p w:rsidR="00D76183" w:rsidRPr="009B0BD7" w:rsidRDefault="00D76183" w:rsidP="00D76183">
      <w:pPr>
        <w:rPr>
          <w:sz w:val="32"/>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4D2641">
        <w:rPr>
          <w:rFonts w:ascii="Palatino Linotype" w:hAnsi="Palatino Linotype" w:cs="Arial"/>
        </w:rPr>
        <w:t xml:space="preserve">Advirtiendo que la respuesta del </w:t>
      </w:r>
      <w:r>
        <w:rPr>
          <w:rFonts w:ascii="Palatino Linotype" w:eastAsia="Calibri" w:hAnsi="Palatino Linotype"/>
          <w:b/>
          <w:lang w:val="es-ES" w:eastAsia="es-ES"/>
        </w:rPr>
        <w:t>SUJETO OBLIGADO</w:t>
      </w:r>
      <w:r w:rsidRPr="004D2641">
        <w:rPr>
          <w:rFonts w:ascii="Palatino Linotype" w:hAnsi="Palatino Linotype" w:cs="Arial"/>
        </w:rPr>
        <w:t xml:space="preserve"> consistió en señalar que no existe una dependencia orgánica, presupuestal ni administrativa entre éste y los Cuerpos de Seguridad Auxiliares del Estado de México y que</w:t>
      </w:r>
      <w:r w:rsidR="00F16984">
        <w:rPr>
          <w:rFonts w:ascii="Palatino Linotype" w:hAnsi="Palatino Linotype" w:cs="Arial"/>
        </w:rPr>
        <w:t xml:space="preserve"> </w:t>
      </w:r>
      <w:r w:rsidR="00C43352">
        <w:rPr>
          <w:rFonts w:ascii="Palatino Linotype" w:hAnsi="Palatino Linotype" w:cs="Arial"/>
        </w:rPr>
        <w:t>la particular</w:t>
      </w:r>
      <w:r w:rsidR="00F16984">
        <w:rPr>
          <w:rFonts w:ascii="Palatino Linotype" w:hAnsi="Palatino Linotype" w:cs="Arial"/>
          <w:b/>
        </w:rPr>
        <w:t xml:space="preserve"> </w:t>
      </w:r>
      <w:r w:rsidR="004B1E60">
        <w:rPr>
          <w:rFonts w:ascii="Palatino Linotype" w:hAnsi="Palatino Linotype" w:cs="Arial"/>
        </w:rPr>
        <w:t xml:space="preserve">solicitó: </w:t>
      </w:r>
      <w:r w:rsidR="00F16984" w:rsidRPr="00F16984">
        <w:rPr>
          <w:rFonts w:ascii="Palatino Linotype" w:hAnsi="Palatino Linotype"/>
          <w:i/>
          <w:color w:val="000000"/>
        </w:rPr>
        <w:t>Solicito atentamente se me proporcione la siguiente información: 1.- Con cuántos elementos cuenta actualmente CUSAEM 2.- Cuál es la nómina que tiene actualmente y si es a cargo del gobierno del Estado de México 3.- A cuántas empresas, instituciones o clientes, brindan el servicio de seguridad 4.- Cuáles fueron sus ingresos, por estos servicios, en 2017 Por la atención que brinden a la presente, gracias de antemano</w:t>
      </w:r>
      <w:r w:rsidR="004B1E60" w:rsidRPr="00F16984">
        <w:rPr>
          <w:rFonts w:ascii="Palatino Linotype" w:hAnsi="Palatino Linotype"/>
          <w:i/>
          <w:color w:val="000000"/>
        </w:rPr>
        <w:t>”</w:t>
      </w:r>
      <w:r w:rsidR="004B1E60" w:rsidRPr="00F16984">
        <w:rPr>
          <w:rFonts w:ascii="Palatino Linotype" w:hAnsi="Palatino Linotype"/>
          <w:i/>
          <w:lang w:val="es-ES_tradnl"/>
        </w:rPr>
        <w:t>.</w:t>
      </w:r>
      <w:r w:rsidRPr="00AD53AB">
        <w:rPr>
          <w:rFonts w:ascii="Palatino Linotype" w:hAnsi="Palatino Linotype" w:cs="Arial"/>
          <w:b/>
        </w:rPr>
        <w:t xml:space="preserve"> </w:t>
      </w:r>
    </w:p>
    <w:p w:rsidR="00D76183" w:rsidRPr="007C7FC0" w:rsidRDefault="00D76183" w:rsidP="00D76183">
      <w:pPr>
        <w:pStyle w:val="Prrafodelista"/>
        <w:spacing w:line="360" w:lineRule="auto"/>
        <w:ind w:left="142"/>
        <w:jc w:val="both"/>
        <w:rPr>
          <w:rFonts w:ascii="Palatino Linotype" w:hAnsi="Palatino Linotype" w:cs="Arial"/>
          <w:sz w:val="16"/>
        </w:rPr>
      </w:pPr>
    </w:p>
    <w:p w:rsidR="00175DF0" w:rsidRDefault="00175DF0"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175DF0">
        <w:rPr>
          <w:rFonts w:ascii="Palatino Linotype" w:hAnsi="Palatino Linotype" w:cs="Arial"/>
        </w:rPr>
        <w:t xml:space="preserve">En dichas condiciones, la </w:t>
      </w:r>
      <w:proofErr w:type="spellStart"/>
      <w:r w:rsidR="00CF4B46" w:rsidRPr="00CF4B46">
        <w:rPr>
          <w:rFonts w:ascii="Palatino Linotype" w:hAnsi="Palatino Linotype" w:cs="Arial"/>
          <w:b/>
          <w:i/>
        </w:rPr>
        <w:t>litis</w:t>
      </w:r>
      <w:proofErr w:type="spellEnd"/>
      <w:r w:rsidR="00CF4B46" w:rsidRPr="00CF4B46">
        <w:rPr>
          <w:rFonts w:ascii="Palatino Linotype" w:hAnsi="Palatino Linotype" w:cs="Arial"/>
          <w:i/>
        </w:rPr>
        <w:t xml:space="preserve"> </w:t>
      </w:r>
      <w:r w:rsidR="00CF4B46">
        <w:rPr>
          <w:rFonts w:ascii="Palatino Linotype" w:hAnsi="Palatino Linotype" w:cs="Arial"/>
        </w:rPr>
        <w:t xml:space="preserve">que debió </w:t>
      </w:r>
      <w:r w:rsidRPr="00175DF0">
        <w:rPr>
          <w:rFonts w:ascii="Palatino Linotype" w:hAnsi="Palatino Linotype" w:cs="Arial"/>
        </w:rPr>
        <w:t xml:space="preserve">resolverse al analizar el recurso de revisión debió circunscribirse a determinar si la respuesta fundada en los preceptos que señaló el </w:t>
      </w:r>
      <w:r w:rsidRPr="00175DF0">
        <w:rPr>
          <w:rFonts w:ascii="Palatino Linotype" w:hAnsi="Palatino Linotype" w:cs="Arial"/>
          <w:b/>
        </w:rPr>
        <w:t>SUJETO OBLIGADO</w:t>
      </w:r>
      <w:r w:rsidRPr="00175DF0">
        <w:rPr>
          <w:rFonts w:ascii="Palatino Linotype" w:hAnsi="Palatino Linotype" w:cs="Arial"/>
        </w:rPr>
        <w:t>, vi</w:t>
      </w:r>
      <w:r w:rsidR="00CF4B46">
        <w:rPr>
          <w:rFonts w:ascii="Palatino Linotype" w:hAnsi="Palatino Linotype" w:cs="Arial"/>
        </w:rPr>
        <w:t>ola o no el derecho en cuestión.</w:t>
      </w:r>
    </w:p>
    <w:p w:rsidR="009B0BD7" w:rsidRPr="009B0BD7" w:rsidRDefault="009B0BD7" w:rsidP="009B0BD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sz w:val="10"/>
        </w:rPr>
      </w:pPr>
    </w:p>
    <w:p w:rsidR="00D76183" w:rsidRPr="00C7654F" w:rsidRDefault="00D76183" w:rsidP="00C7654F">
      <w:pPr>
        <w:pStyle w:val="Ttulo1"/>
      </w:pPr>
      <w:bookmarkStart w:id="2" w:name="_Toc1405968"/>
      <w:r w:rsidRPr="00C7654F">
        <w:t>III. La función de seguridad pública.</w:t>
      </w:r>
      <w:bookmarkEnd w:id="2"/>
    </w:p>
    <w:p w:rsidR="00D76183" w:rsidRPr="009B0BD7" w:rsidRDefault="00D76183" w:rsidP="00D76183">
      <w:pPr>
        <w:rPr>
          <w:sz w:val="52"/>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 xml:space="preserve">La seguridad pública es una función a cargo de la Federación, los Estados y Municipios, según lo señalado en el noveno párrafo del artículo 21 de la </w:t>
      </w:r>
      <w:r>
        <w:rPr>
          <w:rFonts w:ascii="Palatino Linotype" w:hAnsi="Palatino Linotype" w:cs="Arial"/>
        </w:rPr>
        <w:lastRenderedPageBreak/>
        <w:t>Constitución Política de los Estados Unidos Mexicanos, lo que en el Estado de México es una función a cargo del Estado y los municipios según lo dispone el artículo 86 Bis de la Constitución Política del Estado Libre y Soberano de México y el artículo 2 de la Ley de Seguridad del Estado de México.</w:t>
      </w:r>
    </w:p>
    <w:p w:rsidR="00D76183" w:rsidRPr="009B0BD7" w:rsidRDefault="00D76183" w:rsidP="00D76183">
      <w:pPr>
        <w:pStyle w:val="Prrafodelista"/>
        <w:spacing w:line="360" w:lineRule="auto"/>
        <w:ind w:left="142"/>
        <w:jc w:val="both"/>
        <w:rPr>
          <w:rFonts w:ascii="Palatino Linotype" w:hAnsi="Palatino Linotype" w:cs="Arial"/>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6D678F">
        <w:rPr>
          <w:rFonts w:ascii="Palatino Linotype" w:hAnsi="Palatino Linotype" w:cs="Arial"/>
        </w:rPr>
        <w:t>De acuerdo con José Antonio González Fernández para definir el concepto de seguridad pública debemos partir del deber del Estado como encargado de vigilar el orden público, garantizar la paz y la seguridad de la comunidad,</w:t>
      </w:r>
      <w:r>
        <w:rPr>
          <w:rStyle w:val="Refdenotaalpie"/>
          <w:rFonts w:ascii="Palatino Linotype" w:hAnsi="Palatino Linotype" w:cs="Arial"/>
        </w:rPr>
        <w:footnoteReference w:id="1"/>
      </w:r>
      <w:r w:rsidRPr="006D678F">
        <w:rPr>
          <w:rFonts w:ascii="Palatino Linotype" w:hAnsi="Palatino Linotype" w:cs="Arial"/>
        </w:rPr>
        <w:t xml:space="preserve"> y dicha función se relaciona con la preservación de determinados valores tutelados</w:t>
      </w:r>
      <w:r w:rsidR="005A6108">
        <w:rPr>
          <w:rFonts w:ascii="Palatino Linotype" w:hAnsi="Palatino Linotype" w:cs="Arial"/>
        </w:rPr>
        <w:t>,</w:t>
      </w:r>
      <w:r w:rsidRPr="006D678F">
        <w:rPr>
          <w:rFonts w:ascii="Palatino Linotype" w:hAnsi="Palatino Linotype" w:cs="Arial"/>
        </w:rPr>
        <w:t xml:space="preserve"> entre los cuales se encuentran los de la vida e integridad de las personas, sus derechos y libertades, el orden y la paz públicos.</w:t>
      </w:r>
      <w:r>
        <w:rPr>
          <w:rStyle w:val="Refdenotaalpie"/>
          <w:rFonts w:ascii="Palatino Linotype" w:hAnsi="Palatino Linotype" w:cs="Arial"/>
        </w:rPr>
        <w:footnoteReference w:id="2"/>
      </w:r>
      <w:r w:rsidRPr="006D678F">
        <w:rPr>
          <w:rFonts w:ascii="Palatino Linotype" w:hAnsi="Palatino Linotype" w:cs="Arial"/>
        </w:rPr>
        <w:t xml:space="preserve">. </w:t>
      </w:r>
    </w:p>
    <w:p w:rsidR="00D76183" w:rsidRPr="007C7FC0" w:rsidRDefault="00D76183" w:rsidP="00D76183">
      <w:pPr>
        <w:pStyle w:val="Prrafodelista"/>
        <w:rPr>
          <w:rFonts w:ascii="Palatino Linotype" w:hAnsi="Palatino Linotype" w:cs="Arial"/>
          <w:sz w:val="16"/>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6D678F">
        <w:rPr>
          <w:rFonts w:ascii="Palatino Linotype" w:hAnsi="Palatino Linotype" w:cs="Arial"/>
        </w:rPr>
        <w:t>En el recurso que se r</w:t>
      </w:r>
      <w:r>
        <w:rPr>
          <w:rFonts w:ascii="Palatino Linotype" w:hAnsi="Palatino Linotype" w:cs="Arial"/>
        </w:rPr>
        <w:t>e</w:t>
      </w:r>
      <w:r w:rsidRPr="006D678F">
        <w:rPr>
          <w:rFonts w:ascii="Palatino Linotype" w:hAnsi="Palatino Linotype" w:cs="Arial"/>
        </w:rPr>
        <w:t>s</w:t>
      </w:r>
      <w:r>
        <w:rPr>
          <w:rFonts w:ascii="Palatino Linotype" w:hAnsi="Palatino Linotype" w:cs="Arial"/>
        </w:rPr>
        <w:t>o</w:t>
      </w:r>
      <w:r w:rsidRPr="006D678F">
        <w:rPr>
          <w:rFonts w:ascii="Palatino Linotype" w:hAnsi="Palatino Linotype" w:cs="Arial"/>
        </w:rPr>
        <w:t>l</w:t>
      </w:r>
      <w:r>
        <w:rPr>
          <w:rFonts w:ascii="Palatino Linotype" w:hAnsi="Palatino Linotype" w:cs="Arial"/>
        </w:rPr>
        <w:t>vió</w:t>
      </w:r>
      <w:r w:rsidRPr="006D678F">
        <w:rPr>
          <w:rFonts w:ascii="Palatino Linotype" w:hAnsi="Palatino Linotype" w:cs="Arial"/>
        </w:rPr>
        <w:t xml:space="preserve">, el </w:t>
      </w:r>
      <w:r w:rsidRPr="002B5480">
        <w:rPr>
          <w:rFonts w:ascii="Palatino Linotype" w:hAnsi="Palatino Linotype" w:cs="Arial"/>
          <w:b/>
        </w:rPr>
        <w:t>SUJETO OBLIGADO</w:t>
      </w:r>
      <w:r w:rsidRPr="006D678F">
        <w:rPr>
          <w:rFonts w:ascii="Palatino Linotype" w:hAnsi="Palatino Linotype" w:cs="Arial"/>
        </w:rPr>
        <w:t xml:space="preserve"> reconoc</w:t>
      </w:r>
      <w:r>
        <w:rPr>
          <w:rFonts w:ascii="Palatino Linotype" w:hAnsi="Palatino Linotype" w:cs="Arial"/>
        </w:rPr>
        <w:t>ió</w:t>
      </w:r>
      <w:r w:rsidRPr="006D678F">
        <w:rPr>
          <w:rFonts w:ascii="Palatino Linotype" w:hAnsi="Palatino Linotype" w:cs="Arial"/>
        </w:rPr>
        <w:t xml:space="preserve"> la existencia de los denominados Cuerpos de Seguridad Auxiliares del Estado de México, </w:t>
      </w:r>
      <w:r w:rsidR="005A6108">
        <w:rPr>
          <w:rFonts w:ascii="Palatino Linotype" w:hAnsi="Palatino Linotype" w:cs="Arial"/>
        </w:rPr>
        <w:t>del cual se advierte que su</w:t>
      </w:r>
      <w:r w:rsidRPr="006D678F">
        <w:rPr>
          <w:rFonts w:ascii="Palatino Linotype" w:hAnsi="Palatino Linotype" w:cs="Arial"/>
        </w:rPr>
        <w:t xml:space="preserve"> régimen jurídico se desprende del artículo 103 segundo párrafo de la Ley de Seguridad del Estado, por lo tanto, se trata de un </w:t>
      </w:r>
      <w:r w:rsidRPr="0055614B">
        <w:rPr>
          <w:rFonts w:ascii="Palatino Linotype" w:hAnsi="Palatino Linotype" w:cs="Arial"/>
        </w:rPr>
        <w:t xml:space="preserve">organismo </w:t>
      </w:r>
      <w:r w:rsidR="00CB6F59" w:rsidRPr="0055614B">
        <w:rPr>
          <w:rFonts w:ascii="Palatino Linotype" w:hAnsi="Palatino Linotype" w:cs="Arial"/>
        </w:rPr>
        <w:t>auxiliar público</w:t>
      </w:r>
      <w:r w:rsidR="00CB6F59">
        <w:rPr>
          <w:rFonts w:ascii="Palatino Linotype" w:hAnsi="Palatino Linotype" w:cs="Arial"/>
        </w:rPr>
        <w:t xml:space="preserve"> </w:t>
      </w:r>
      <w:r w:rsidRPr="006D678F">
        <w:rPr>
          <w:rFonts w:ascii="Palatino Linotype" w:hAnsi="Palatino Linotype" w:cs="Arial"/>
        </w:rPr>
        <w:t xml:space="preserve">a través del cual el Estado proporciona </w:t>
      </w:r>
      <w:r w:rsidRPr="006D678F">
        <w:rPr>
          <w:rFonts w:ascii="Palatino Linotype" w:hAnsi="Palatino Linotype" w:cs="Arial"/>
          <w:i/>
        </w:rPr>
        <w:t>servicios de protección, custodia, vigilancia y seguridad a</w:t>
      </w:r>
      <w:r w:rsidRPr="006D678F">
        <w:rPr>
          <w:rFonts w:ascii="Palatino Linotype" w:hAnsi="Palatino Linotype" w:cs="Arial"/>
        </w:rPr>
        <w:t xml:space="preserve">, entre otras personas, </w:t>
      </w:r>
      <w:r w:rsidRPr="006D678F">
        <w:rPr>
          <w:rFonts w:ascii="Palatino Linotype" w:hAnsi="Palatino Linotype" w:cs="Arial"/>
          <w:i/>
        </w:rPr>
        <w:t xml:space="preserve">dependencias y organismos públicos. </w:t>
      </w:r>
      <w:r w:rsidRPr="006D678F">
        <w:rPr>
          <w:rFonts w:ascii="Palatino Linotype" w:hAnsi="Palatino Linotype" w:cs="Arial"/>
        </w:rPr>
        <w:t>Dichos servicios claramente contribuyen a la preservación del orden y la paz públicos</w:t>
      </w:r>
      <w:r w:rsidR="005A6108">
        <w:rPr>
          <w:rFonts w:ascii="Palatino Linotype" w:hAnsi="Palatino Linotype" w:cs="Arial"/>
        </w:rPr>
        <w:t>,</w:t>
      </w:r>
      <w:r w:rsidRPr="006D678F">
        <w:rPr>
          <w:rFonts w:ascii="Palatino Linotype" w:hAnsi="Palatino Linotype" w:cs="Arial"/>
        </w:rPr>
        <w:t xml:space="preserve"> y tienden a asegurar el respeto tanto a la vida, integridad, derechos y </w:t>
      </w:r>
      <w:r w:rsidRPr="006D678F">
        <w:rPr>
          <w:rFonts w:ascii="Palatino Linotype" w:hAnsi="Palatino Linotype" w:cs="Arial"/>
        </w:rPr>
        <w:lastRenderedPageBreak/>
        <w:t>libertades de las personas que cotidianamente acuden a las instalaciones de l</w:t>
      </w:r>
      <w:r w:rsidR="005A6108">
        <w:rPr>
          <w:rFonts w:ascii="Palatino Linotype" w:hAnsi="Palatino Linotype" w:cs="Arial"/>
        </w:rPr>
        <w:t xml:space="preserve">as dependencias públicas, </w:t>
      </w:r>
      <w:r w:rsidRPr="006D678F">
        <w:rPr>
          <w:rFonts w:ascii="Palatino Linotype" w:hAnsi="Palatino Linotype" w:cs="Arial"/>
        </w:rPr>
        <w:t xml:space="preserve">como </w:t>
      </w:r>
      <w:r w:rsidR="005A6108">
        <w:rPr>
          <w:rFonts w:ascii="Palatino Linotype" w:hAnsi="Palatino Linotype" w:cs="Arial"/>
        </w:rPr>
        <w:t xml:space="preserve">a </w:t>
      </w:r>
      <w:r w:rsidRPr="006D678F">
        <w:rPr>
          <w:rFonts w:ascii="Palatino Linotype" w:hAnsi="Palatino Linotype" w:cs="Arial"/>
        </w:rPr>
        <w:t>usuarios de servicios públicos como de los propios servidores públicos que</w:t>
      </w:r>
      <w:r w:rsidR="005A6108">
        <w:rPr>
          <w:rFonts w:ascii="Palatino Linotype" w:hAnsi="Palatino Linotype" w:cs="Arial"/>
        </w:rPr>
        <w:t xml:space="preserve"> laboran en dichas dependencias</w:t>
      </w:r>
      <w:r w:rsidR="00CB6F59">
        <w:rPr>
          <w:rFonts w:ascii="Palatino Linotype" w:hAnsi="Palatino Linotype" w:cs="Arial"/>
        </w:rPr>
        <w:t>.</w:t>
      </w:r>
    </w:p>
    <w:p w:rsidR="002547BA" w:rsidRPr="002547BA" w:rsidRDefault="002547BA" w:rsidP="002547B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sz w:val="12"/>
        </w:rPr>
      </w:pPr>
    </w:p>
    <w:p w:rsidR="002547BA" w:rsidRDefault="002547BA" w:rsidP="002547BA">
      <w:pPr>
        <w:pStyle w:val="Ttulo1"/>
      </w:pPr>
      <w:bookmarkStart w:id="3" w:name="_Toc1405969"/>
      <w:r w:rsidRPr="002547BA">
        <w:t>IV. ¿Qué “instituciones” necesitan cumplir con un registro de seguridad?</w:t>
      </w:r>
      <w:bookmarkEnd w:id="3"/>
    </w:p>
    <w:p w:rsidR="002547BA" w:rsidRPr="002547BA" w:rsidRDefault="002547BA" w:rsidP="002547BA"/>
    <w:p w:rsidR="002547BA" w:rsidRPr="002547BA" w:rsidRDefault="002547BA" w:rsidP="002547BA">
      <w:pPr>
        <w:rPr>
          <w:sz w:val="28"/>
        </w:rPr>
      </w:pPr>
    </w:p>
    <w:p w:rsidR="00774600" w:rsidRDefault="00774600" w:rsidP="0077460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En el proyecto de resolución presentado</w:t>
      </w:r>
      <w:r w:rsidR="00B22DB8">
        <w:rPr>
          <w:rFonts w:ascii="Palatino Linotype" w:hAnsi="Palatino Linotype" w:cs="Arial"/>
        </w:rPr>
        <w:t xml:space="preserve"> en un inicio</w:t>
      </w:r>
      <w:r>
        <w:rPr>
          <w:rFonts w:ascii="Palatino Linotype" w:hAnsi="Palatino Linotype" w:cs="Arial"/>
        </w:rPr>
        <w:t xml:space="preserve">, se hacía alusión a una empresa privada, posteriormente se manejó como institución, lo cual no es preciso si se refiere a </w:t>
      </w:r>
      <w:r w:rsidR="00B22DB8">
        <w:rPr>
          <w:rFonts w:ascii="Palatino Linotype" w:hAnsi="Palatino Linotype" w:cs="Arial"/>
        </w:rPr>
        <w:t xml:space="preserve">una </w:t>
      </w:r>
      <w:r>
        <w:rPr>
          <w:rFonts w:ascii="Palatino Linotype" w:hAnsi="Palatino Linotype" w:cs="Arial"/>
        </w:rPr>
        <w:t xml:space="preserve">institución como una empresa particular, o a una institución pública. </w:t>
      </w:r>
    </w:p>
    <w:p w:rsidR="00774600" w:rsidRPr="00774600" w:rsidRDefault="00774600" w:rsidP="0077460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sz w:val="18"/>
        </w:rPr>
      </w:pPr>
    </w:p>
    <w:p w:rsidR="00774600" w:rsidRPr="00B22DB8" w:rsidRDefault="00B22DB8" w:rsidP="0077460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B22DB8">
        <w:rPr>
          <w:rFonts w:ascii="Palatino Linotype" w:hAnsi="Palatino Linotype" w:cs="Arial"/>
        </w:rPr>
        <w:t>Además, e</w:t>
      </w:r>
      <w:r w:rsidR="00774600" w:rsidRPr="00B22DB8">
        <w:rPr>
          <w:rFonts w:ascii="Palatino Linotype" w:hAnsi="Palatino Linotype" w:cs="Arial"/>
        </w:rPr>
        <w:t xml:space="preserve">n </w:t>
      </w:r>
      <w:r w:rsidRPr="00B22DB8">
        <w:rPr>
          <w:rFonts w:ascii="Palatino Linotype" w:hAnsi="Palatino Linotype" w:cs="Arial"/>
        </w:rPr>
        <w:t xml:space="preserve">los </w:t>
      </w:r>
      <w:r w:rsidR="00774600" w:rsidRPr="00B22DB8">
        <w:rPr>
          <w:rFonts w:ascii="Palatino Linotype" w:hAnsi="Palatino Linotype" w:cs="Arial"/>
        </w:rPr>
        <w:t xml:space="preserve">resolutivos </w:t>
      </w:r>
      <w:r w:rsidRPr="00B22DB8">
        <w:rPr>
          <w:rFonts w:ascii="Palatino Linotype" w:hAnsi="Palatino Linotype" w:cs="Arial"/>
        </w:rPr>
        <w:t xml:space="preserve">del proyecto aprobado por la mayoría del Pleno, </w:t>
      </w:r>
      <w:r w:rsidR="00774600" w:rsidRPr="00B22DB8">
        <w:rPr>
          <w:rFonts w:ascii="Palatino Linotype" w:hAnsi="Palatino Linotype" w:cs="Arial"/>
        </w:rPr>
        <w:t>se orden</w:t>
      </w:r>
      <w:r w:rsidRPr="00B22DB8">
        <w:rPr>
          <w:rFonts w:ascii="Palatino Linotype" w:hAnsi="Palatino Linotype" w:cs="Arial"/>
        </w:rPr>
        <w:t>ó</w:t>
      </w:r>
      <w:r w:rsidR="00774600" w:rsidRPr="00B22DB8">
        <w:rPr>
          <w:rFonts w:ascii="Palatino Linotype" w:hAnsi="Palatino Linotype" w:cs="Arial"/>
        </w:rPr>
        <w:t xml:space="preserve"> información relacionada con la solicitud, que constituya un requisito para el registro como instituci</w:t>
      </w:r>
      <w:r w:rsidRPr="00B22DB8">
        <w:rPr>
          <w:rFonts w:ascii="Palatino Linotype" w:hAnsi="Palatino Linotype" w:cs="Arial"/>
        </w:rPr>
        <w:t xml:space="preserve">ón de seguridad, lo cual no es preciso ya que </w:t>
      </w:r>
      <w:r>
        <w:rPr>
          <w:rFonts w:ascii="Palatino Linotype" w:hAnsi="Palatino Linotype" w:cs="Arial"/>
        </w:rPr>
        <w:t>c</w:t>
      </w:r>
      <w:r w:rsidR="00774600" w:rsidRPr="00B22DB8">
        <w:rPr>
          <w:rFonts w:ascii="Palatino Linotype" w:hAnsi="Palatino Linotype" w:cs="Arial"/>
        </w:rPr>
        <w:t xml:space="preserve">uando se habla de requisitos, </w:t>
      </w:r>
      <w:r w:rsidRPr="00B22DB8">
        <w:rPr>
          <w:rFonts w:ascii="Palatino Linotype" w:hAnsi="Palatino Linotype" w:cs="Arial"/>
        </w:rPr>
        <w:t>se entienden por estos a aquellos que los particulares necesitan para constituirse como empresa o persona moral.</w:t>
      </w:r>
    </w:p>
    <w:p w:rsidR="00774600" w:rsidRDefault="00774600" w:rsidP="00774600">
      <w:pPr>
        <w:pStyle w:val="Prrafodelista"/>
        <w:spacing w:line="360" w:lineRule="auto"/>
        <w:ind w:left="360"/>
        <w:jc w:val="both"/>
        <w:rPr>
          <w:rFonts w:ascii="Palatino Linotype" w:hAnsi="Palatino Linotype"/>
        </w:rPr>
      </w:pPr>
    </w:p>
    <w:p w:rsidR="002547BA" w:rsidRPr="002547BA" w:rsidRDefault="00B22DB8" w:rsidP="00774600">
      <w:pPr>
        <w:pStyle w:val="Prrafodelista"/>
        <w:numPr>
          <w:ilvl w:val="0"/>
          <w:numId w:val="1"/>
        </w:numPr>
        <w:spacing w:line="360" w:lineRule="auto"/>
        <w:ind w:left="142"/>
        <w:jc w:val="both"/>
        <w:rPr>
          <w:rFonts w:ascii="Palatino Linotype" w:hAnsi="Palatino Linotype"/>
        </w:rPr>
      </w:pPr>
      <w:r>
        <w:rPr>
          <w:rFonts w:ascii="Palatino Linotype" w:hAnsi="Palatino Linotype"/>
        </w:rPr>
        <w:t>Ahora, c</w:t>
      </w:r>
      <w:r w:rsidR="002547BA" w:rsidRPr="002547BA">
        <w:rPr>
          <w:rFonts w:ascii="Palatino Linotype" w:hAnsi="Palatino Linotype"/>
        </w:rPr>
        <w:t xml:space="preserve">omo bien lo señala el artículo 5 de la </w:t>
      </w:r>
      <w:r w:rsidR="002547BA" w:rsidRPr="002547BA">
        <w:rPr>
          <w:rFonts w:ascii="Palatino Linotype" w:hAnsi="Palatino Linotype"/>
          <w:b/>
        </w:rPr>
        <w:t xml:space="preserve">Ley de Seguridad Privada del Estado de México </w:t>
      </w:r>
      <w:r w:rsidR="002547BA" w:rsidRPr="002547BA">
        <w:rPr>
          <w:rFonts w:ascii="Palatino Linotype" w:hAnsi="Palatino Linotype"/>
        </w:rPr>
        <w:t xml:space="preserve">corresponde a la Secretaría de Seguridad Autorizar la prestación del servicio de seguridad privada en el Estado de México y en su caso revalidar, revocar o modificar la autorización otorgada para dicho efecto, así como establecer, operar y controlar el Registro Estatal de Empresas de Seguridad Privada, en el que se inscribirán los datos de sus elementos y del equipo con que cuenten, así como </w:t>
      </w:r>
      <w:r w:rsidR="002547BA" w:rsidRPr="002547BA">
        <w:rPr>
          <w:rFonts w:ascii="Palatino Linotype" w:hAnsi="Palatino Linotype"/>
        </w:rPr>
        <w:lastRenderedPageBreak/>
        <w:t xml:space="preserve">los relativos a la asignación de armas a los elementos </w:t>
      </w:r>
      <w:r w:rsidR="002547BA">
        <w:rPr>
          <w:rFonts w:ascii="Palatino Linotype" w:hAnsi="Palatino Linotype"/>
        </w:rPr>
        <w:t>para la prestación del servicio;</w:t>
      </w:r>
      <w:r w:rsidR="002547BA" w:rsidRPr="002547BA">
        <w:rPr>
          <w:rFonts w:ascii="Palatino Linotype" w:hAnsi="Palatino Linotype"/>
        </w:rPr>
        <w:t xml:space="preserve"> sin embargo</w:t>
      </w:r>
      <w:r w:rsidR="002547BA">
        <w:rPr>
          <w:rFonts w:ascii="Palatino Linotype" w:hAnsi="Palatino Linotype"/>
        </w:rPr>
        <w:t>,</w:t>
      </w:r>
      <w:r w:rsidR="002547BA" w:rsidRPr="002547BA">
        <w:rPr>
          <w:rFonts w:ascii="Palatino Linotype" w:hAnsi="Palatino Linotype"/>
        </w:rPr>
        <w:t xml:space="preserve"> para que ello ocurra la norma establece ciertos requisitos, mismos que se encuentran regulados en el artículo 19 de la ley antes citada, que serán ineludibles tanto para particulares que deseen acceder a ellos como para las personas jurídico colectivas; los cuales se enuncian a continuación:</w:t>
      </w:r>
    </w:p>
    <w:p w:rsidR="002547BA" w:rsidRPr="002547BA" w:rsidRDefault="002547BA" w:rsidP="002547BA">
      <w:pPr>
        <w:spacing w:line="276" w:lineRule="auto"/>
        <w:ind w:left="567" w:right="616"/>
        <w:jc w:val="both"/>
        <w:rPr>
          <w:rFonts w:ascii="Palatino Linotype" w:hAnsi="Palatino Linotype"/>
        </w:rPr>
      </w:pPr>
      <w:r>
        <w:rPr>
          <w:rFonts w:ascii="Palatino Linotype" w:hAnsi="Palatino Linotype"/>
        </w:rPr>
        <w:t>“</w:t>
      </w:r>
      <w:r w:rsidRPr="002547BA">
        <w:rPr>
          <w:rFonts w:ascii="Palatino Linotype" w:hAnsi="Palatino Linotype"/>
        </w:rPr>
        <w:t>…</w:t>
      </w: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I. Ser persona física de nacionalidad mexicana </w:t>
      </w:r>
      <w:r w:rsidRPr="002547BA">
        <w:rPr>
          <w:rFonts w:ascii="Palatino Linotype" w:hAnsi="Palatino Linotype"/>
          <w:b/>
          <w:i/>
          <w:u w:val="single"/>
        </w:rPr>
        <w:t>o jurídica colectiva</w:t>
      </w:r>
      <w:r w:rsidRPr="002547BA">
        <w:rPr>
          <w:rFonts w:ascii="Palatino Linotype" w:hAnsi="Palatino Linotype"/>
          <w:i/>
        </w:rPr>
        <w:t xml:space="preserve"> constituida conforme a las leyes del país; </w:t>
      </w:r>
    </w:p>
    <w:p w:rsidR="002547BA" w:rsidRPr="002547BA" w:rsidRDefault="002547BA" w:rsidP="002547BA">
      <w:pPr>
        <w:spacing w:line="276" w:lineRule="auto"/>
        <w:ind w:left="567" w:right="616"/>
        <w:jc w:val="both"/>
        <w:rPr>
          <w:rFonts w:ascii="Palatino Linotype" w:hAnsi="Palatino Linotype"/>
          <w:i/>
        </w:rPr>
      </w:pP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II. Exhibir original del comprobante de pago de derechos por el estudio y trámite de la solicitud de autorización; y </w:t>
      </w:r>
    </w:p>
    <w:p w:rsidR="002547BA" w:rsidRPr="002547BA" w:rsidRDefault="002547BA" w:rsidP="002547BA">
      <w:pPr>
        <w:spacing w:line="276" w:lineRule="auto"/>
        <w:ind w:left="567" w:right="616"/>
        <w:jc w:val="both"/>
        <w:rPr>
          <w:rFonts w:ascii="Palatino Linotype" w:hAnsi="Palatino Linotype"/>
          <w:i/>
        </w:rPr>
      </w:pP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III. Presentar copia certificada de los siguientes documentos: </w:t>
      </w:r>
    </w:p>
    <w:p w:rsidR="002547BA" w:rsidRPr="002547BA" w:rsidRDefault="002547BA" w:rsidP="002547BA">
      <w:pPr>
        <w:spacing w:line="276" w:lineRule="auto"/>
        <w:ind w:left="567" w:right="616"/>
        <w:jc w:val="both"/>
        <w:rPr>
          <w:rFonts w:ascii="Palatino Linotype" w:hAnsi="Palatino Linotype"/>
          <w:i/>
        </w:rPr>
      </w:pP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Persona física: a) Acta de nacimiento, credencial para votar vigente y cartilla del servicio militar liberada, en caso de varones, tratándose de personas físicas. </w:t>
      </w:r>
    </w:p>
    <w:p w:rsidR="002547BA" w:rsidRPr="002547BA" w:rsidRDefault="002547BA" w:rsidP="002547BA">
      <w:pPr>
        <w:spacing w:line="276" w:lineRule="auto"/>
        <w:ind w:left="567" w:right="616"/>
        <w:jc w:val="both"/>
        <w:rPr>
          <w:rFonts w:ascii="Palatino Linotype" w:hAnsi="Palatino Linotype"/>
          <w:i/>
        </w:rPr>
      </w:pPr>
    </w:p>
    <w:p w:rsidR="002547BA" w:rsidRDefault="002547BA" w:rsidP="002547BA">
      <w:pPr>
        <w:spacing w:line="276" w:lineRule="auto"/>
        <w:ind w:left="567" w:right="616"/>
        <w:jc w:val="both"/>
        <w:rPr>
          <w:rFonts w:ascii="Palatino Linotype" w:hAnsi="Palatino Linotype"/>
          <w:b/>
          <w:i/>
          <w:u w:val="single"/>
        </w:rPr>
      </w:pPr>
      <w:r w:rsidRPr="002547BA">
        <w:rPr>
          <w:rFonts w:ascii="Palatino Linotype" w:hAnsi="Palatino Linotype"/>
          <w:b/>
          <w:i/>
          <w:u w:val="single"/>
        </w:rPr>
        <w:t>Persona jurídica colectiva:</w:t>
      </w:r>
    </w:p>
    <w:p w:rsidR="002547BA" w:rsidRPr="002547BA" w:rsidRDefault="002547BA" w:rsidP="002547BA">
      <w:pPr>
        <w:spacing w:line="276" w:lineRule="auto"/>
        <w:ind w:left="567" w:right="616"/>
        <w:jc w:val="both"/>
        <w:rPr>
          <w:rFonts w:ascii="Palatino Linotype" w:hAnsi="Palatino Linotype"/>
          <w:i/>
        </w:rPr>
      </w:pP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 a) Acta constitutiva, de sus estatutos y de las reformas a éstos, para el caso de personas jurídicas colectivas; y </w:t>
      </w:r>
    </w:p>
    <w:p w:rsidR="002547BA" w:rsidRPr="002547BA" w:rsidRDefault="002547BA" w:rsidP="002547BA">
      <w:pPr>
        <w:spacing w:line="276" w:lineRule="auto"/>
        <w:ind w:left="567" w:right="616"/>
        <w:jc w:val="both"/>
        <w:rPr>
          <w:rFonts w:ascii="Palatino Linotype" w:hAnsi="Palatino Linotype"/>
          <w:i/>
        </w:rPr>
      </w:pPr>
    </w:p>
    <w:p w:rsidR="002547BA" w:rsidRP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b) En su caso, poder notarial en el que se acredite la personalidad del solicitante. </w:t>
      </w: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IV. Señalar el domicilio de la matriz y en su caso de las sucursales en el Estado de México, precisando el nombre y puesto del encargado en cada una de ellas, así como domicilio en el Estado de México, para recibir notificaciones relacionadas </w:t>
      </w:r>
      <w:r w:rsidRPr="002547BA">
        <w:rPr>
          <w:rFonts w:ascii="Palatino Linotype" w:hAnsi="Palatino Linotype"/>
          <w:i/>
        </w:rPr>
        <w:lastRenderedPageBreak/>
        <w:t xml:space="preserve">con todos los actos de la autorización, anexando los comprobantes domiciliarios respectivos de cada una de ellas; </w:t>
      </w:r>
    </w:p>
    <w:p w:rsidR="002547BA" w:rsidRPr="002547BA" w:rsidRDefault="002547BA" w:rsidP="002547BA">
      <w:pPr>
        <w:spacing w:line="276" w:lineRule="auto"/>
        <w:ind w:left="567" w:right="616"/>
        <w:jc w:val="both"/>
        <w:rPr>
          <w:rFonts w:ascii="Palatino Linotype" w:hAnsi="Palatino Linotype"/>
          <w:i/>
        </w:rPr>
      </w:pP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V. Acreditar que cuenta con los medios humanos, de formación, técnicos, financieros y materiales que les permitan llevar a cabo la prestación del servicio de seguridad privada en forma adecuada, en las modalidades solicitadas. Estos medios se especificaran en el Reglamento de la presente Ley; </w:t>
      </w:r>
    </w:p>
    <w:p w:rsidR="002547BA" w:rsidRPr="002547BA" w:rsidRDefault="002547BA" w:rsidP="002547BA">
      <w:pPr>
        <w:spacing w:line="276" w:lineRule="auto"/>
        <w:ind w:left="567" w:right="616"/>
        <w:jc w:val="both"/>
        <w:rPr>
          <w:rFonts w:ascii="Palatino Linotype" w:hAnsi="Palatino Linotype"/>
          <w:i/>
        </w:rPr>
      </w:pP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VI. Presentar un ejemplar del Reglamento Interior de Trabajo, y manual o instructivo operativo, aplicable a cada una de las modalidades del servicio a desarrollar, así como la constancia que acredite su registro ante la Secretaría del Trabajo y Prevención Social, que contenga la estructura jerárquica del Prestador del Servicio y el nombre del responsable operativo; los lineamientos y requisitos mínimos con los que deberán de contar dichos instrumentos se establecerán en el Reglamento de la presente Ley; </w:t>
      </w:r>
    </w:p>
    <w:p w:rsidR="002547BA" w:rsidRPr="002547BA" w:rsidRDefault="002547BA" w:rsidP="002547BA">
      <w:pPr>
        <w:spacing w:line="276" w:lineRule="auto"/>
        <w:ind w:left="567" w:right="616"/>
        <w:jc w:val="both"/>
        <w:rPr>
          <w:rFonts w:ascii="Palatino Linotype" w:hAnsi="Palatino Linotype"/>
          <w:i/>
        </w:rPr>
      </w:pP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VII. Constancia expedida por institución competente o capacitadores internos o externos del Prestador del Servicio con reconocimiento oficial, que acredite que cuenta con los conocimientos profesionales y técnicos para otorgar la capacitación de los elementos; VIII. Relación del personal directivo y administrativo, conteniendo currículum vitae, certificado de antecedentes no penales expedida por institución oficial del Estado de México y constancia domiciliaria; </w:t>
      </w:r>
    </w:p>
    <w:p w:rsidR="002547BA" w:rsidRPr="002547BA" w:rsidRDefault="002547BA" w:rsidP="002547BA">
      <w:pPr>
        <w:spacing w:line="276" w:lineRule="auto"/>
        <w:ind w:left="567" w:right="616"/>
        <w:jc w:val="both"/>
        <w:rPr>
          <w:rFonts w:ascii="Palatino Linotype" w:hAnsi="Palatino Linotype"/>
          <w:i/>
        </w:rPr>
      </w:pP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IX. Relación de quienes se integrarán como personal directivo, administrativo y de elementos, en caso de contar éstos últimos, para la consulta de antecedentes policiales en el Registro Estatal de Empresas, Prestadores del Servicio, Personal y Equipo de Seguridad Privada, debiendo acompañar certificado de no antecedentes penales del Estado de México y con relación a los elementos el </w:t>
      </w:r>
      <w:r w:rsidRPr="002547BA">
        <w:rPr>
          <w:rFonts w:ascii="Palatino Linotype" w:hAnsi="Palatino Linotype"/>
          <w:i/>
        </w:rPr>
        <w:lastRenderedPageBreak/>
        <w:t xml:space="preserve">comprobante de pago de derechos correspondiente, además de señalar el nombre, Registro Federal de Contribuyente y, en su caso, Clave Única de Registro de Población de cada uno de ellos; </w:t>
      </w:r>
    </w:p>
    <w:p w:rsidR="002547BA" w:rsidRPr="002547BA" w:rsidRDefault="002547BA" w:rsidP="002547BA">
      <w:pPr>
        <w:spacing w:line="276" w:lineRule="auto"/>
        <w:ind w:left="567" w:right="616"/>
        <w:jc w:val="both"/>
        <w:rPr>
          <w:rFonts w:ascii="Palatino Linotype" w:hAnsi="Palatino Linotype"/>
          <w:i/>
        </w:rPr>
      </w:pP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X. Fotografías del uniforme a utilizar, en las que se aprecien sus cuatro vistas, conteniendo colores, logotipos, insignias o emblemas, las cuales no deberán ser metálicas, mismos que no podrán ser iguales o similares a los utilizados por las corporaciones policiales o por las fuerzas armadas ni metálicas. Las fotografías serán a color y con dimensiones que sean legibles; </w:t>
      </w:r>
    </w:p>
    <w:p w:rsidR="002547BA" w:rsidRPr="002547BA" w:rsidRDefault="002547BA" w:rsidP="002547BA">
      <w:pPr>
        <w:spacing w:line="276" w:lineRule="auto"/>
        <w:ind w:left="567" w:right="616"/>
        <w:jc w:val="both"/>
        <w:rPr>
          <w:rFonts w:ascii="Palatino Linotype" w:hAnsi="Palatino Linotype"/>
          <w:i/>
        </w:rPr>
      </w:pP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XI. Relación de bienes muebles e inmuebles que se utilicen para el servicio, incluido equipo de radiocomunicación, armamento, vehículos, equipo y aditamentos en general; XII. Relación, en su caso, de perros, adjuntando copia certificada de los documentos que acrediten que el instructor se encuentra capacitado para desempeñar ese trabajo; asimismo se anexará listado que contenga los datos de identificación de cada animal, como son: raza, edad, color, peso, tamaño, nombre y documentos que acrediten el adiestramiento y su estado de salud, expedido por la autoridad competente; </w:t>
      </w:r>
    </w:p>
    <w:p w:rsidR="002547BA" w:rsidRPr="002547BA" w:rsidRDefault="002547BA" w:rsidP="002547BA">
      <w:pPr>
        <w:spacing w:line="276" w:lineRule="auto"/>
        <w:ind w:left="567" w:right="616"/>
        <w:jc w:val="both"/>
        <w:rPr>
          <w:rFonts w:ascii="Palatino Linotype" w:hAnsi="Palatino Linotype"/>
          <w:i/>
        </w:rPr>
      </w:pP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XIII. Copias certificadas del permiso para operar frecuencia de radiocomunicación o contrato celebrado con concesionaria autorizada; </w:t>
      </w:r>
    </w:p>
    <w:p w:rsidR="002547BA" w:rsidRPr="002547BA" w:rsidRDefault="002547BA" w:rsidP="002547BA">
      <w:pPr>
        <w:spacing w:line="276" w:lineRule="auto"/>
        <w:ind w:left="567" w:right="616"/>
        <w:jc w:val="both"/>
        <w:rPr>
          <w:rFonts w:ascii="Palatino Linotype" w:hAnsi="Palatino Linotype"/>
          <w:i/>
        </w:rPr>
      </w:pP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XIV. Fotografías a colores de los costados, frente, parte posterior y toldo del tipo de vehículos que se utilicen en la prestación de los servicios, las cuales deberán mostrar claramente los colores, logotipos, insignias o emblemas o algún elemento de iluminación, que no podrán ser iguales o similares a los oficiales utilizados por las corporaciones policiales o por las Fuerzas Armadas, además deberán presentar rotulada la denominación o razón social del prestador del servicio y la leyenda "Seguridad Privada". En caso de contar con logotipo, éste deberá ir </w:t>
      </w:r>
      <w:r w:rsidRPr="002547BA">
        <w:rPr>
          <w:rFonts w:ascii="Palatino Linotype" w:hAnsi="Palatino Linotype"/>
          <w:i/>
        </w:rPr>
        <w:lastRenderedPageBreak/>
        <w:t xml:space="preserve">impreso en el cofre de cada uno de los vehículos debiendo tener una dimensión de sesenta centímetros de alto por sesenta centímetros de ancho. En ambos costados, la leyenda Seguridad Privada, con letras legibles, debiendo medir cada letra veinte centímetros de alto por ocho centímetros de ancho y el número de autorización para llevar a cabo la función de seguridad privada. Cuando por las dimensiones y características de los vehículos no sea posible observar lo antes señalado, tanto los logotipos como las letras serán de acuerdo a las dimensiones del mismo, previa autorización de la Secretaría; </w:t>
      </w:r>
    </w:p>
    <w:p w:rsidR="002547BA" w:rsidRPr="002547BA" w:rsidRDefault="002547BA" w:rsidP="002547BA">
      <w:pPr>
        <w:spacing w:line="276" w:lineRule="auto"/>
        <w:ind w:left="567" w:right="616"/>
        <w:jc w:val="both"/>
        <w:rPr>
          <w:rFonts w:ascii="Palatino Linotype" w:hAnsi="Palatino Linotype"/>
          <w:i/>
        </w:rPr>
      </w:pPr>
    </w:p>
    <w:p w:rsidR="002547BA" w:rsidRP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XV. Tratándose de prestadores de servicios que operen en la modalidad de traslado de bienes o valores, para el caso de la primer modalidad contar con vehículos para su traslado y específicamente para el traslado de valores, será indispensable contar con vehículos blindados y exhibir constancia expedida por el proveedor del servicio de blindaje autorizado por institución oficial competente, con la que se acredite el nivel del mismo, así como armamento necesario para el servicio en las dos modalidades; y </w:t>
      </w:r>
    </w:p>
    <w:p w:rsid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XVI. Presentar acuse de la solicitud para el trámite del Programa Estatal de Protección Civil de la Entidad, ante la Coordinación General de Protección Civil de la Secretaría General de Gobierno; </w:t>
      </w:r>
    </w:p>
    <w:p w:rsidR="002547BA" w:rsidRPr="002547BA" w:rsidRDefault="002547BA" w:rsidP="002547BA">
      <w:pPr>
        <w:spacing w:line="276" w:lineRule="auto"/>
        <w:ind w:left="567" w:right="616"/>
        <w:jc w:val="both"/>
        <w:rPr>
          <w:rFonts w:ascii="Palatino Linotype" w:hAnsi="Palatino Linotype"/>
          <w:i/>
        </w:rPr>
      </w:pPr>
    </w:p>
    <w:p w:rsidR="002547BA" w:rsidRPr="002547BA" w:rsidRDefault="002547BA" w:rsidP="002547BA">
      <w:pPr>
        <w:spacing w:line="276" w:lineRule="auto"/>
        <w:ind w:left="567" w:right="616"/>
        <w:jc w:val="both"/>
        <w:rPr>
          <w:rFonts w:ascii="Palatino Linotype" w:hAnsi="Palatino Linotype"/>
          <w:i/>
        </w:rPr>
      </w:pPr>
      <w:r w:rsidRPr="002547BA">
        <w:rPr>
          <w:rFonts w:ascii="Palatino Linotype" w:hAnsi="Palatino Linotype"/>
          <w:i/>
        </w:rPr>
        <w:t xml:space="preserve">XVII. Tratándose de prestadores de servicios que operen en la modalidad de seguridad privada a personas, que cuenten con vehículos para escoltarlas, ya sean propiedad del prestador o prestatario, deberá registrarlo y presentar fotografías del vehículo, cuando deje de surtir efectos la autorización o revalidación, o el prestatario termine por cualquier situación la contratación del servicio, inmediatamente se dará aviso a la Secretaría, en un término no mayor a tres días hábiles posteriores a que se presenten estos supuestos. </w:t>
      </w:r>
      <w:r>
        <w:rPr>
          <w:rFonts w:ascii="Palatino Linotype" w:hAnsi="Palatino Linotype"/>
          <w:i/>
        </w:rPr>
        <w:t>“</w:t>
      </w:r>
    </w:p>
    <w:p w:rsidR="002547BA" w:rsidRDefault="002547BA" w:rsidP="002547B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p>
    <w:p w:rsidR="00BE2C11" w:rsidRDefault="00BE2C11" w:rsidP="00BE2C1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p>
    <w:p w:rsidR="002547BA" w:rsidRDefault="00BE2C11"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lastRenderedPageBreak/>
        <w:t>Así, conviene analizar la naturaleza jurídica de esos tipos de organismos.</w:t>
      </w:r>
    </w:p>
    <w:p w:rsidR="009B0BD7" w:rsidRPr="009B0BD7" w:rsidRDefault="009B0BD7" w:rsidP="009B0BD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sz w:val="10"/>
        </w:rPr>
      </w:pPr>
    </w:p>
    <w:p w:rsidR="00D76183" w:rsidRDefault="00D76183" w:rsidP="00C7654F">
      <w:pPr>
        <w:pStyle w:val="Ttulo1"/>
      </w:pPr>
      <w:bookmarkStart w:id="4" w:name="_Toc1405970"/>
      <w:r w:rsidRPr="00310096">
        <w:t>V. La naturaleza administrativa del organismo en cuestión.</w:t>
      </w:r>
      <w:bookmarkEnd w:id="4"/>
      <w:r w:rsidRPr="00310096">
        <w:t xml:space="preserve"> </w:t>
      </w:r>
    </w:p>
    <w:p w:rsidR="00D76183" w:rsidRPr="009B0BD7" w:rsidRDefault="00D76183" w:rsidP="00D76183">
      <w:pPr>
        <w:rPr>
          <w:sz w:val="56"/>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Las actividades señaladas en la sección anterior forman parte de la función general de seguridad pública a cargo del Estado y corresponden a un grupo especial de acciones entre las cuales también se encuentran la prestación de los mismos servicios a sociedades mercantiles, asociaciones, instituciones educativas y particulares. Todas ellas t</w:t>
      </w:r>
      <w:r w:rsidR="005A6108">
        <w:rPr>
          <w:rFonts w:ascii="Palatino Linotype" w:hAnsi="Palatino Linotype" w:cs="Arial"/>
        </w:rPr>
        <w:t xml:space="preserve">eniendo como común denominador </w:t>
      </w:r>
      <w:r>
        <w:rPr>
          <w:rFonts w:ascii="Palatino Linotype" w:hAnsi="Palatino Linotype" w:cs="Arial"/>
        </w:rPr>
        <w:t xml:space="preserve">que el Estado puede proporcionar </w:t>
      </w:r>
      <w:r w:rsidR="00CF4B46">
        <w:rPr>
          <w:rFonts w:ascii="Palatino Linotype" w:hAnsi="Palatino Linotype" w:cs="Arial"/>
        </w:rPr>
        <w:t xml:space="preserve">e incluso autorizar </w:t>
      </w:r>
      <w:r>
        <w:rPr>
          <w:rFonts w:ascii="Palatino Linotype" w:hAnsi="Palatino Linotype" w:cs="Arial"/>
        </w:rPr>
        <w:t xml:space="preserve">dichos servicios a través de </w:t>
      </w:r>
      <w:r w:rsidRPr="00D128AC">
        <w:rPr>
          <w:rFonts w:ascii="Palatino Linotype" w:hAnsi="Palatino Linotype" w:cs="Arial"/>
          <w:i/>
        </w:rPr>
        <w:t>organismos que se creen con base en las normas legales aplicables, en su carácter de auxiliares de la función de seguridad pública</w:t>
      </w:r>
      <w:r>
        <w:rPr>
          <w:rFonts w:ascii="Palatino Linotype" w:hAnsi="Palatino Linotype" w:cs="Arial"/>
        </w:rPr>
        <w:t xml:space="preserve"> según lo señala el segundo párrafo del artículo 103 de la Ley de Seguridad del Estado de México.</w:t>
      </w:r>
    </w:p>
    <w:p w:rsidR="00D76183" w:rsidRPr="009B0BD7" w:rsidRDefault="00D76183" w:rsidP="00D76183">
      <w:pPr>
        <w:pStyle w:val="Prrafodelista"/>
        <w:spacing w:line="360" w:lineRule="auto"/>
        <w:ind w:left="142"/>
        <w:jc w:val="both"/>
        <w:rPr>
          <w:rFonts w:ascii="Palatino Linotype" w:hAnsi="Palatino Linotype" w:cs="Arial"/>
        </w:rPr>
      </w:pPr>
    </w:p>
    <w:p w:rsidR="00D76183" w:rsidRDefault="00D76183" w:rsidP="001117F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6D678F">
        <w:rPr>
          <w:rFonts w:ascii="Palatino Linotype" w:hAnsi="Palatino Linotype" w:cs="Arial"/>
        </w:rPr>
        <w:t xml:space="preserve">De lo anterior es posible deducir que quien brinda los servicios de protección, custodia, vigilancia y seguridad señalados en los dos párrafos anteriores es un </w:t>
      </w:r>
      <w:r w:rsidR="00B22DB8">
        <w:rPr>
          <w:rFonts w:ascii="Palatino Linotype" w:hAnsi="Palatino Linotype" w:cs="Arial"/>
        </w:rPr>
        <w:t>organismo auxiliar público</w:t>
      </w:r>
      <w:r w:rsidRPr="006D678F">
        <w:rPr>
          <w:rFonts w:ascii="Palatino Linotype" w:hAnsi="Palatino Linotype" w:cs="Arial"/>
        </w:rPr>
        <w:t xml:space="preserve"> </w:t>
      </w:r>
      <w:r w:rsidR="00B22DB8">
        <w:rPr>
          <w:rFonts w:ascii="Palatino Linotype" w:hAnsi="Palatino Linotype" w:cs="Arial"/>
        </w:rPr>
        <w:t>d</w:t>
      </w:r>
      <w:r w:rsidRPr="006D678F">
        <w:rPr>
          <w:rFonts w:ascii="Palatino Linotype" w:hAnsi="Palatino Linotype" w:cs="Arial"/>
        </w:rPr>
        <w:t xml:space="preserve">el Estado, </w:t>
      </w:r>
      <w:r w:rsidR="00B22DB8">
        <w:rPr>
          <w:rFonts w:ascii="Palatino Linotype" w:hAnsi="Palatino Linotype" w:cs="Arial"/>
        </w:rPr>
        <w:t xml:space="preserve">lo cual tiene </w:t>
      </w:r>
      <w:r w:rsidRPr="006D678F">
        <w:rPr>
          <w:rFonts w:ascii="Palatino Linotype" w:hAnsi="Palatino Linotype" w:cs="Arial"/>
        </w:rPr>
        <w:t>sustento en la propia respuesta</w:t>
      </w:r>
      <w:r w:rsidR="00725EE4">
        <w:rPr>
          <w:rFonts w:ascii="Palatino Linotype" w:hAnsi="Palatino Linotype" w:cs="Arial"/>
        </w:rPr>
        <w:t xml:space="preserve"> d</w:t>
      </w:r>
      <w:r w:rsidRPr="006D678F">
        <w:rPr>
          <w:rFonts w:ascii="Palatino Linotype" w:hAnsi="Palatino Linotype" w:cs="Arial"/>
        </w:rPr>
        <w:t xml:space="preserve">el </w:t>
      </w:r>
      <w:r w:rsidRPr="002B5480">
        <w:rPr>
          <w:rFonts w:ascii="Palatino Linotype" w:hAnsi="Palatino Linotype" w:cs="Arial"/>
          <w:b/>
          <w:caps/>
        </w:rPr>
        <w:t>Sujeto Obligado</w:t>
      </w:r>
      <w:r w:rsidRPr="006D678F">
        <w:rPr>
          <w:rFonts w:ascii="Palatino Linotype" w:hAnsi="Palatino Linotype" w:cs="Arial"/>
        </w:rPr>
        <w:t xml:space="preserve">, </w:t>
      </w:r>
      <w:r w:rsidR="00725EE4">
        <w:rPr>
          <w:rFonts w:ascii="Palatino Linotype" w:hAnsi="Palatino Linotype" w:cs="Arial"/>
        </w:rPr>
        <w:t>puesto que fundamenta el cumplimiento de su objeto</w:t>
      </w:r>
      <w:r w:rsidR="009B5052">
        <w:rPr>
          <w:rFonts w:ascii="Palatino Linotype" w:hAnsi="Palatino Linotype" w:cs="Arial"/>
        </w:rPr>
        <w:t xml:space="preserve"> en el Reglamento Interior de la Comisión Estatal de Seguridad del Estado, </w:t>
      </w:r>
      <w:r w:rsidR="00B22DB8">
        <w:rPr>
          <w:rFonts w:ascii="Palatino Linotype" w:hAnsi="Palatino Linotype" w:cs="Arial"/>
        </w:rPr>
        <w:t>que</w:t>
      </w:r>
      <w:r w:rsidR="009B5052">
        <w:rPr>
          <w:rFonts w:ascii="Palatino Linotype" w:hAnsi="Palatino Linotype" w:cs="Arial"/>
        </w:rPr>
        <w:t xml:space="preserve"> en </w:t>
      </w:r>
      <w:r w:rsidR="001117F9">
        <w:rPr>
          <w:rFonts w:ascii="Palatino Linotype" w:hAnsi="Palatino Linotype" w:cs="Arial"/>
        </w:rPr>
        <w:t>términos del</w:t>
      </w:r>
      <w:r w:rsidR="009B5052">
        <w:rPr>
          <w:rFonts w:ascii="Palatino Linotype" w:hAnsi="Palatino Linotype" w:cs="Arial"/>
        </w:rPr>
        <w:t xml:space="preserve"> transitorio</w:t>
      </w:r>
      <w:r w:rsidR="001117F9">
        <w:rPr>
          <w:rFonts w:ascii="Palatino Linotype" w:hAnsi="Palatino Linotype" w:cs="Arial"/>
        </w:rPr>
        <w:t xml:space="preserve"> tercero abrogó el Reglamento Interior de la Secretaría de Seguridad Ciudadana, bajo el </w:t>
      </w:r>
      <w:r w:rsidR="00B22DB8">
        <w:rPr>
          <w:rFonts w:ascii="Palatino Linotype" w:hAnsi="Palatino Linotype" w:cs="Arial"/>
        </w:rPr>
        <w:t xml:space="preserve">que </w:t>
      </w:r>
      <w:r w:rsidR="001117F9">
        <w:rPr>
          <w:rFonts w:ascii="Palatino Linotype" w:hAnsi="Palatino Linotype" w:cs="Arial"/>
        </w:rPr>
        <w:t xml:space="preserve">ahora se rige, normatividad de la que se advierten atribuciones para generar, administrar y/o poseer la información que se </w:t>
      </w:r>
      <w:r w:rsidR="001117F9">
        <w:rPr>
          <w:rFonts w:ascii="Palatino Linotype" w:hAnsi="Palatino Linotype" w:cs="Arial"/>
        </w:rPr>
        <w:lastRenderedPageBreak/>
        <w:t>solicitó en este asunto, ya que</w:t>
      </w:r>
      <w:r w:rsidRPr="006D678F">
        <w:rPr>
          <w:rFonts w:ascii="Palatino Linotype" w:hAnsi="Palatino Linotype" w:cs="Arial"/>
        </w:rPr>
        <w:t xml:space="preserve"> este tipo especial de seguridad privada realiza actividades auxiliares en materia de seguridad pública.</w:t>
      </w:r>
    </w:p>
    <w:p w:rsidR="00D76183" w:rsidRPr="009B0BD7" w:rsidRDefault="00D76183" w:rsidP="00D76183">
      <w:pPr>
        <w:pStyle w:val="Prrafodelista"/>
        <w:rPr>
          <w:rFonts w:ascii="Palatino Linotype" w:hAnsi="Palatino Linotype" w:cs="Arial"/>
          <w:sz w:val="32"/>
        </w:rPr>
      </w:pPr>
    </w:p>
    <w:p w:rsidR="00023318" w:rsidRPr="00023318" w:rsidRDefault="00023318" w:rsidP="00023318">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 xml:space="preserve">Cuando se hace énfasis en organismos, se debe precisar que estos se encuentran concebidos como aquellas entidades de derecho público con personalidad jurídica propia o dependientes de las Administraciones Públicas, que tienen como objetivo realizar actividades de ejecución o gestión reservadas a estas; por lo </w:t>
      </w:r>
      <w:r w:rsidR="00525BCE">
        <w:rPr>
          <w:rFonts w:ascii="Palatino Linotype" w:hAnsi="Palatino Linotype" w:cs="Arial"/>
        </w:rPr>
        <w:t>tanto</w:t>
      </w:r>
      <w:r>
        <w:rPr>
          <w:rFonts w:ascii="Palatino Linotype" w:hAnsi="Palatino Linotype" w:cs="Arial"/>
        </w:rPr>
        <w:t>, al referirnos al CUSAEM como un organismo de carácter auxiliar público, es derivado de las funciones que realiza en a</w:t>
      </w:r>
      <w:r w:rsidR="00525BCE">
        <w:rPr>
          <w:rFonts w:ascii="Palatino Linotype" w:hAnsi="Palatino Linotype" w:cs="Arial"/>
        </w:rPr>
        <w:t>poyo</w:t>
      </w:r>
      <w:r>
        <w:rPr>
          <w:rFonts w:ascii="Palatino Linotype" w:hAnsi="Palatino Linotype" w:cs="Arial"/>
        </w:rPr>
        <w:t xml:space="preserve"> de las áreas y necesidades que delega el Estado, en cumplimiento y facultades que la propia Ley le señala.</w:t>
      </w:r>
    </w:p>
    <w:p w:rsidR="00023318" w:rsidRPr="00023318" w:rsidRDefault="00D76183" w:rsidP="0002331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023318">
        <w:rPr>
          <w:rFonts w:ascii="Palatino Linotype" w:hAnsi="Palatino Linotype" w:cs="Arial"/>
        </w:rPr>
        <w:t xml:space="preserve"> </w:t>
      </w:r>
    </w:p>
    <w:p w:rsidR="007A70CB" w:rsidRDefault="00023318" w:rsidP="007A70C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Ahora, p</w:t>
      </w:r>
      <w:r w:rsidR="001117F9" w:rsidRPr="007A70CB">
        <w:rPr>
          <w:rFonts w:ascii="Palatino Linotype" w:hAnsi="Palatino Linotype" w:cs="Arial"/>
        </w:rPr>
        <w:t xml:space="preserve">ara </w:t>
      </w:r>
      <w:r>
        <w:rPr>
          <w:rFonts w:ascii="Palatino Linotype" w:hAnsi="Palatino Linotype" w:cs="Arial"/>
        </w:rPr>
        <w:t>comprender</w:t>
      </w:r>
      <w:r w:rsidR="001117F9" w:rsidRPr="007A70CB">
        <w:rPr>
          <w:rFonts w:ascii="Palatino Linotype" w:hAnsi="Palatino Linotype" w:cs="Arial"/>
        </w:rPr>
        <w:t xml:space="preserve"> la naturaleza jurídica del organismo en cuestión, vale la pena referir que no tiene una Ley </w:t>
      </w:r>
      <w:r w:rsidR="007A70CB" w:rsidRPr="007A70CB">
        <w:rPr>
          <w:rFonts w:ascii="Palatino Linotype" w:hAnsi="Palatino Linotype" w:cs="Arial"/>
        </w:rPr>
        <w:t xml:space="preserve">emanada del Estado </w:t>
      </w:r>
      <w:r w:rsidR="001117F9" w:rsidRPr="007A70CB">
        <w:rPr>
          <w:rFonts w:ascii="Palatino Linotype" w:hAnsi="Palatino Linotype" w:cs="Arial"/>
        </w:rPr>
        <w:t>que lo crea, como los demás org</w:t>
      </w:r>
      <w:r w:rsidR="009914B0">
        <w:rPr>
          <w:rFonts w:ascii="Palatino Linotype" w:hAnsi="Palatino Linotype" w:cs="Arial"/>
        </w:rPr>
        <w:t xml:space="preserve">anismos descentralizados; sin embargo, en </w:t>
      </w:r>
      <w:r w:rsidR="001117F9" w:rsidRPr="007A70CB">
        <w:rPr>
          <w:rFonts w:ascii="Palatino Linotype" w:hAnsi="Palatino Linotype" w:cs="Arial"/>
        </w:rPr>
        <w:t xml:space="preserve">la normatividad </w:t>
      </w:r>
      <w:r w:rsidR="009914B0">
        <w:rPr>
          <w:rFonts w:ascii="Palatino Linotype" w:hAnsi="Palatino Linotype" w:cs="Arial"/>
        </w:rPr>
        <w:t xml:space="preserve">se refleja como organismo auxiliar del </w:t>
      </w:r>
      <w:r w:rsidR="001117F9" w:rsidRPr="007A70CB">
        <w:rPr>
          <w:rFonts w:ascii="Palatino Linotype" w:hAnsi="Palatino Linotype" w:cs="Arial"/>
        </w:rPr>
        <w:t>Poder Ejecutivo</w:t>
      </w:r>
      <w:r w:rsidR="009914B0">
        <w:rPr>
          <w:rFonts w:ascii="Palatino Linotype" w:hAnsi="Palatino Linotype" w:cs="Arial"/>
        </w:rPr>
        <w:t xml:space="preserve">, entendiéndose este como una empresa de participación estatal, </w:t>
      </w:r>
      <w:r w:rsidR="00B13203">
        <w:rPr>
          <w:rFonts w:ascii="Palatino Linotype" w:hAnsi="Palatino Linotype" w:cs="Arial"/>
        </w:rPr>
        <w:t xml:space="preserve">que </w:t>
      </w:r>
      <w:r w:rsidR="009914B0">
        <w:rPr>
          <w:rFonts w:ascii="Palatino Linotype" w:hAnsi="Palatino Linotype" w:cs="Arial"/>
        </w:rPr>
        <w:t>integra las</w:t>
      </w:r>
      <w:r w:rsidR="00D801DC" w:rsidRPr="007A70CB">
        <w:rPr>
          <w:rFonts w:ascii="Palatino Linotype" w:hAnsi="Palatino Linotype" w:cs="Arial"/>
        </w:rPr>
        <w:t xml:space="preserve"> entidades de la administración pública paraestatal</w:t>
      </w:r>
      <w:r w:rsidR="009914B0">
        <w:rPr>
          <w:rFonts w:ascii="Palatino Linotype" w:hAnsi="Palatino Linotype" w:cs="Arial"/>
        </w:rPr>
        <w:t xml:space="preserve"> de las cuales se auxilia el Poder Ejecutivo, </w:t>
      </w:r>
      <w:r w:rsidR="00B13203">
        <w:rPr>
          <w:rFonts w:ascii="Palatino Linotype" w:hAnsi="Palatino Linotype" w:cs="Arial"/>
        </w:rPr>
        <w:t>y a su vez</w:t>
      </w:r>
      <w:r w:rsidR="00D801DC" w:rsidRPr="007A70CB">
        <w:rPr>
          <w:rFonts w:ascii="Palatino Linotype" w:hAnsi="Palatino Linotype" w:cs="Arial"/>
        </w:rPr>
        <w:t xml:space="preserve"> con</w:t>
      </w:r>
      <w:r w:rsidR="009914B0">
        <w:rPr>
          <w:rFonts w:ascii="Palatino Linotype" w:hAnsi="Palatino Linotype" w:cs="Arial"/>
        </w:rPr>
        <w:t>sideradas</w:t>
      </w:r>
      <w:r w:rsidR="00D801DC" w:rsidRPr="007A70CB">
        <w:rPr>
          <w:rFonts w:ascii="Palatino Linotype" w:hAnsi="Palatino Linotype" w:cs="Arial"/>
        </w:rPr>
        <w:t xml:space="preserve"> como parte de la Administración Pública Estatal, </w:t>
      </w:r>
      <w:r w:rsidR="00B13203">
        <w:rPr>
          <w:rFonts w:ascii="Palatino Linotype" w:hAnsi="Palatino Linotype" w:cs="Arial"/>
        </w:rPr>
        <w:t xml:space="preserve">de tal manera </w:t>
      </w:r>
      <w:r w:rsidR="009914B0">
        <w:rPr>
          <w:rFonts w:ascii="Palatino Linotype" w:hAnsi="Palatino Linotype" w:cs="Arial"/>
        </w:rPr>
        <w:t>que al concebirse como</w:t>
      </w:r>
      <w:r w:rsidR="00D801DC" w:rsidRPr="007A70CB">
        <w:rPr>
          <w:rFonts w:ascii="Palatino Linotype" w:hAnsi="Palatino Linotype" w:cs="Arial"/>
        </w:rPr>
        <w:t xml:space="preserve"> personas morales </w:t>
      </w:r>
      <w:r w:rsidR="00B13203">
        <w:rPr>
          <w:rFonts w:ascii="Palatino Linotype" w:hAnsi="Palatino Linotype" w:cs="Arial"/>
        </w:rPr>
        <w:t>constituidas</w:t>
      </w:r>
      <w:r w:rsidR="00D801DC" w:rsidRPr="007A70CB">
        <w:rPr>
          <w:rFonts w:ascii="Palatino Linotype" w:hAnsi="Palatino Linotype" w:cs="Arial"/>
        </w:rPr>
        <w:t xml:space="preserve"> con el</w:t>
      </w:r>
      <w:r w:rsidR="007A70CB" w:rsidRPr="007A70CB">
        <w:rPr>
          <w:rFonts w:ascii="Palatino Linotype" w:hAnsi="Palatino Linotype" w:cs="Arial"/>
        </w:rPr>
        <w:t xml:space="preserve"> objetivo de auxiliar al E</w:t>
      </w:r>
      <w:r w:rsidR="009914B0">
        <w:rPr>
          <w:rFonts w:ascii="Palatino Linotype" w:hAnsi="Palatino Linotype" w:cs="Arial"/>
        </w:rPr>
        <w:t>jecutivo</w:t>
      </w:r>
      <w:r w:rsidR="005A6108">
        <w:rPr>
          <w:rFonts w:ascii="Palatino Linotype" w:hAnsi="Palatino Linotype" w:cs="Arial"/>
        </w:rPr>
        <w:t xml:space="preserve"> del Estado</w:t>
      </w:r>
      <w:r w:rsidR="009914B0">
        <w:rPr>
          <w:rFonts w:ascii="Palatino Linotype" w:hAnsi="Palatino Linotype" w:cs="Arial"/>
        </w:rPr>
        <w:t>, deben acudir ante notario o fedatario público para realizar su registro.</w:t>
      </w:r>
    </w:p>
    <w:p w:rsidR="00B22DB8" w:rsidRDefault="00B22DB8" w:rsidP="00B22DB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p>
    <w:p w:rsidR="009914B0" w:rsidRDefault="009914B0" w:rsidP="007A70C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525BCE">
        <w:rPr>
          <w:rFonts w:ascii="Palatino Linotype" w:hAnsi="Palatino Linotype" w:cs="Arial"/>
        </w:rPr>
        <w:lastRenderedPageBreak/>
        <w:t>Lo anterior es así</w:t>
      </w:r>
      <w:r w:rsidR="00B13203" w:rsidRPr="00525BCE">
        <w:rPr>
          <w:rFonts w:ascii="Palatino Linotype" w:hAnsi="Palatino Linotype" w:cs="Arial"/>
        </w:rPr>
        <w:t>,</w:t>
      </w:r>
      <w:r w:rsidRPr="00525BCE">
        <w:rPr>
          <w:rFonts w:ascii="Palatino Linotype" w:hAnsi="Palatino Linotype" w:cs="Arial"/>
        </w:rPr>
        <w:t xml:space="preserve"> </w:t>
      </w:r>
      <w:r w:rsidR="00023318" w:rsidRPr="00525BCE">
        <w:rPr>
          <w:rFonts w:ascii="Palatino Linotype" w:hAnsi="Palatino Linotype" w:cs="Arial"/>
        </w:rPr>
        <w:t xml:space="preserve"> </w:t>
      </w:r>
      <w:r w:rsidR="00525BCE">
        <w:rPr>
          <w:rFonts w:ascii="Palatino Linotype" w:hAnsi="Palatino Linotype" w:cs="Arial"/>
        </w:rPr>
        <w:t xml:space="preserve">ya </w:t>
      </w:r>
      <w:r w:rsidR="00023318" w:rsidRPr="00525BCE">
        <w:rPr>
          <w:rFonts w:ascii="Palatino Linotype" w:hAnsi="Palatino Linotype" w:cs="Arial"/>
        </w:rPr>
        <w:t xml:space="preserve">que </w:t>
      </w:r>
      <w:r w:rsidR="00525BCE">
        <w:rPr>
          <w:rFonts w:ascii="Palatino Linotype" w:hAnsi="Palatino Linotype" w:cs="Arial"/>
        </w:rPr>
        <w:t>según lo dispuesto por</w:t>
      </w:r>
      <w:r w:rsidR="00023318" w:rsidRPr="00525BCE">
        <w:rPr>
          <w:rFonts w:ascii="Palatino Linotype" w:hAnsi="Palatino Linotype" w:cs="Arial"/>
        </w:rPr>
        <w:t xml:space="preserve"> la Ley Orgánica de la Administración Pública Federal, el Poder Ejecutivo se apoyará de entidades de la administración p</w:t>
      </w:r>
      <w:r w:rsidR="00525BCE">
        <w:rPr>
          <w:rFonts w:ascii="Palatino Linotype" w:hAnsi="Palatino Linotype" w:cs="Arial"/>
        </w:rPr>
        <w:t>ública paraestatal para dar cumplimiento a sus objetivos, entre las cuales destacan l</w:t>
      </w:r>
      <w:r w:rsidR="00023318" w:rsidRPr="00525BCE">
        <w:rPr>
          <w:rFonts w:ascii="Palatino Linotype" w:hAnsi="Palatino Linotype" w:cs="Arial"/>
        </w:rPr>
        <w:t>os organismos descentralizados, empresas de participación estatal, y fideicomisos</w:t>
      </w:r>
      <w:r w:rsidR="00B13203" w:rsidRPr="00525BCE">
        <w:rPr>
          <w:rFonts w:ascii="Palatino Linotype" w:hAnsi="Palatino Linotype" w:cs="Arial"/>
        </w:rPr>
        <w:t>,</w:t>
      </w:r>
      <w:r w:rsidRPr="00525BCE">
        <w:rPr>
          <w:rFonts w:ascii="Palatino Linotype" w:hAnsi="Palatino Linotype" w:cs="Arial"/>
        </w:rPr>
        <w:t xml:space="preserve"> </w:t>
      </w:r>
      <w:r w:rsidR="00023318" w:rsidRPr="00525BCE">
        <w:rPr>
          <w:rFonts w:ascii="Palatino Linotype" w:hAnsi="Palatino Linotype" w:cs="Arial"/>
        </w:rPr>
        <w:t>entendiendo las segundas como organismos auxiliares de carácter público como lo son los Cuerpos de Seguridad Auxiliares del Estado de México (CUSAEM)</w:t>
      </w:r>
      <w:r w:rsidR="00525BCE">
        <w:rPr>
          <w:rFonts w:ascii="Palatino Linotype" w:hAnsi="Palatino Linotype" w:cs="Arial"/>
        </w:rPr>
        <w:t>. Organismos</w:t>
      </w:r>
      <w:r w:rsidR="00023318" w:rsidRPr="00525BCE">
        <w:rPr>
          <w:rFonts w:ascii="Palatino Linotype" w:hAnsi="Palatino Linotype" w:cs="Arial"/>
        </w:rPr>
        <w:t xml:space="preserve"> </w:t>
      </w:r>
      <w:r w:rsidR="00525BCE">
        <w:rPr>
          <w:rFonts w:ascii="Palatino Linotype" w:hAnsi="Palatino Linotype" w:cs="Arial"/>
        </w:rPr>
        <w:t xml:space="preserve">de los cuales vale la pena precisar </w:t>
      </w:r>
      <w:r w:rsidR="00023318" w:rsidRPr="00525BCE">
        <w:rPr>
          <w:rFonts w:ascii="Palatino Linotype" w:hAnsi="Palatino Linotype" w:cs="Arial"/>
        </w:rPr>
        <w:t>que</w:t>
      </w:r>
      <w:r w:rsidRPr="00525BCE">
        <w:rPr>
          <w:rFonts w:ascii="Palatino Linotype" w:hAnsi="Palatino Linotype" w:cs="Arial"/>
        </w:rPr>
        <w:t xml:space="preserve"> </w:t>
      </w:r>
      <w:r w:rsidR="00525BCE">
        <w:rPr>
          <w:rFonts w:ascii="Palatino Linotype" w:hAnsi="Palatino Linotype" w:cs="Arial"/>
        </w:rPr>
        <w:t xml:space="preserve">adoptan la </w:t>
      </w:r>
      <w:r w:rsidR="00B13203" w:rsidRPr="00525BCE">
        <w:rPr>
          <w:rFonts w:ascii="Palatino Linotype" w:hAnsi="Palatino Linotype" w:cs="Arial"/>
        </w:rPr>
        <w:t xml:space="preserve">forma de sociedades mercantiles, </w:t>
      </w:r>
      <w:r w:rsidR="00525BCE">
        <w:rPr>
          <w:rFonts w:ascii="Palatino Linotype" w:hAnsi="Palatino Linotype" w:cs="Arial"/>
        </w:rPr>
        <w:t xml:space="preserve">así como </w:t>
      </w:r>
      <w:r w:rsidR="00B13203" w:rsidRPr="00525BCE">
        <w:rPr>
          <w:rFonts w:ascii="Palatino Linotype" w:hAnsi="Palatino Linotype" w:cs="Arial"/>
        </w:rPr>
        <w:t xml:space="preserve">el régimen legal de la sociedad </w:t>
      </w:r>
      <w:r w:rsidR="00525BCE">
        <w:rPr>
          <w:rFonts w:ascii="Palatino Linotype" w:hAnsi="Palatino Linotype" w:cs="Arial"/>
        </w:rPr>
        <w:t xml:space="preserve">anónima, razón por la que </w:t>
      </w:r>
      <w:r w:rsidR="00525BCE" w:rsidRPr="00525BCE">
        <w:rPr>
          <w:rFonts w:ascii="Palatino Linotype" w:hAnsi="Palatino Linotype" w:cs="Arial"/>
        </w:rPr>
        <w:t xml:space="preserve">deben realizar su </w:t>
      </w:r>
      <w:r w:rsidR="00525BCE">
        <w:rPr>
          <w:rFonts w:ascii="Palatino Linotype" w:hAnsi="Palatino Linotype" w:cs="Arial"/>
        </w:rPr>
        <w:t>registro ante fedatario público.</w:t>
      </w:r>
    </w:p>
    <w:p w:rsidR="00927CE3" w:rsidRPr="00927CE3" w:rsidRDefault="00927CE3" w:rsidP="00927CE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927CE3" w:rsidRDefault="00927CE3" w:rsidP="007A70C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 xml:space="preserve">Resulta necesario </w:t>
      </w:r>
      <w:r w:rsidR="00597EA9">
        <w:rPr>
          <w:rFonts w:ascii="Palatino Linotype" w:hAnsi="Palatino Linotype" w:cs="Arial"/>
        </w:rPr>
        <w:t xml:space="preserve">agregar </w:t>
      </w:r>
      <w:r>
        <w:rPr>
          <w:rFonts w:ascii="Palatino Linotype" w:hAnsi="Palatino Linotype" w:cs="Arial"/>
        </w:rPr>
        <w:t xml:space="preserve">que, los recursos que reciben estos organismos no se reportan en la Ley de Ingresos del Estado, y por ende no se encuentran en el presupuesto de egresos; sin embargo, es </w:t>
      </w:r>
      <w:r w:rsidR="00597EA9">
        <w:rPr>
          <w:rFonts w:ascii="Palatino Linotype" w:hAnsi="Palatino Linotype" w:cs="Arial"/>
        </w:rPr>
        <w:t xml:space="preserve">importante </w:t>
      </w:r>
      <w:r>
        <w:rPr>
          <w:rFonts w:ascii="Palatino Linotype" w:hAnsi="Palatino Linotype" w:cs="Arial"/>
        </w:rPr>
        <w:t xml:space="preserve">precisar que son recursos de carácter público, </w:t>
      </w:r>
      <w:r w:rsidR="00597EA9">
        <w:rPr>
          <w:rFonts w:ascii="Palatino Linotype" w:hAnsi="Palatino Linotype" w:cs="Arial"/>
        </w:rPr>
        <w:t>puesto</w:t>
      </w:r>
      <w:r>
        <w:rPr>
          <w:rFonts w:ascii="Palatino Linotype" w:hAnsi="Palatino Linotype" w:cs="Arial"/>
        </w:rPr>
        <w:t xml:space="preserve"> que la propia Ley faculta al Estado para </w:t>
      </w:r>
      <w:r>
        <w:rPr>
          <w:rFonts w:ascii="Palatino Linotype" w:eastAsia="Calibri" w:hAnsi="Palatino Linotype"/>
          <w:lang w:eastAsia="es-ES"/>
        </w:rPr>
        <w:t xml:space="preserve">participar en la integración de su capital social a fin de satisfacer las necesidades sociales existentes en la entidad, como bien </w:t>
      </w:r>
      <w:r w:rsidR="00597EA9">
        <w:rPr>
          <w:rFonts w:ascii="Palatino Linotype" w:eastAsia="Calibri" w:hAnsi="Palatino Linotype"/>
          <w:lang w:eastAsia="es-ES"/>
        </w:rPr>
        <w:t xml:space="preserve">aplicaría </w:t>
      </w:r>
      <w:r>
        <w:rPr>
          <w:rFonts w:ascii="Palatino Linotype" w:eastAsia="Calibri" w:hAnsi="Palatino Linotype"/>
          <w:lang w:eastAsia="es-ES"/>
        </w:rPr>
        <w:t>en materia de seguri</w:t>
      </w:r>
      <w:r w:rsidR="00597EA9">
        <w:rPr>
          <w:rFonts w:ascii="Palatino Linotype" w:eastAsia="Calibri" w:hAnsi="Palatino Linotype"/>
          <w:lang w:eastAsia="es-ES"/>
        </w:rPr>
        <w:t>dad pública, situación que conlleva a una evidente falta de regulación por parte del Estado y las leyes que emanan de él, cuestión que será objeto de análisis más adelante.</w:t>
      </w:r>
    </w:p>
    <w:p w:rsidR="00B22DB8" w:rsidRDefault="00B22DB8" w:rsidP="00B22DB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p>
    <w:p w:rsidR="00D76183" w:rsidRDefault="00E8686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A</w:t>
      </w:r>
      <w:r w:rsidR="00D76183" w:rsidRPr="006D678F">
        <w:rPr>
          <w:rFonts w:ascii="Palatino Linotype" w:hAnsi="Palatino Linotype" w:cs="Arial"/>
        </w:rPr>
        <w:t xml:space="preserve">demás, </w:t>
      </w:r>
      <w:r>
        <w:rPr>
          <w:rFonts w:ascii="Palatino Linotype" w:hAnsi="Palatino Linotype" w:cs="Arial"/>
        </w:rPr>
        <w:t xml:space="preserve">para hondar en la naturaleza de dicho organismo, </w:t>
      </w:r>
      <w:r w:rsidR="00D76183" w:rsidRPr="006D678F">
        <w:rPr>
          <w:rFonts w:ascii="Palatino Linotype" w:hAnsi="Palatino Linotype" w:cs="Arial"/>
        </w:rPr>
        <w:t xml:space="preserve">vale la pena hacer alusión a otras disposiciones jurídicas que le resultan aplicables en razón de la actividad que desempeñan y los medios e instrumentos empleados para ello. Como </w:t>
      </w:r>
      <w:r w:rsidR="00D76183" w:rsidRPr="006D678F">
        <w:rPr>
          <w:rFonts w:ascii="Palatino Linotype" w:hAnsi="Palatino Linotype" w:cs="Arial"/>
        </w:rPr>
        <w:lastRenderedPageBreak/>
        <w:t>ya se señaló antes, este organismo brinda servicios de protección, custodia, vigilancia y seguridad, para ello requiere del uso de armas de fuego, cuya portación se encuentra regulado en lo señalado por la Ley Federal en la materia que, en su artículo 25 precisa que existen dos clases de licencias para portar armas: las particulares y las oficiales. Las segundas destinadas a los servidores públicos que se desempeñan en las instituciones policiales y las primeras, que pueden otorgarse a personas físicas o morales, en el caso de estas últimas se requiere que estén constituidas conforme a las disposiciones jurídicas y tratándose de servicios privados de seguridad reunir con los requisitos planteados por el artículo 26 de la ley en cuestión.</w:t>
      </w:r>
    </w:p>
    <w:p w:rsidR="00D76183" w:rsidRPr="007C7FC0" w:rsidRDefault="00D76183" w:rsidP="00D76183">
      <w:pPr>
        <w:pStyle w:val="Prrafodelista"/>
        <w:rPr>
          <w:rFonts w:ascii="Palatino Linotype" w:hAnsi="Palatino Linotype" w:cs="Arial"/>
          <w:sz w:val="20"/>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 xml:space="preserve"> </w:t>
      </w:r>
      <w:r w:rsidRPr="006D678F">
        <w:rPr>
          <w:rFonts w:ascii="Palatino Linotype" w:hAnsi="Palatino Linotype" w:cs="Arial"/>
        </w:rPr>
        <w:t xml:space="preserve">Si como </w:t>
      </w:r>
      <w:r>
        <w:rPr>
          <w:rFonts w:ascii="Palatino Linotype" w:hAnsi="Palatino Linotype" w:cs="Arial"/>
        </w:rPr>
        <w:t xml:space="preserve">ha venido </w:t>
      </w:r>
      <w:r w:rsidRPr="006D678F">
        <w:rPr>
          <w:rFonts w:ascii="Palatino Linotype" w:hAnsi="Palatino Linotype" w:cs="Arial"/>
        </w:rPr>
        <w:t>refir</w:t>
      </w:r>
      <w:r>
        <w:rPr>
          <w:rFonts w:ascii="Palatino Linotype" w:hAnsi="Palatino Linotype" w:cs="Arial"/>
        </w:rPr>
        <w:t>i</w:t>
      </w:r>
      <w:r w:rsidRPr="006D678F">
        <w:rPr>
          <w:rFonts w:ascii="Palatino Linotype" w:hAnsi="Palatino Linotype" w:cs="Arial"/>
        </w:rPr>
        <w:t>e</w:t>
      </w:r>
      <w:r>
        <w:rPr>
          <w:rFonts w:ascii="Palatino Linotype" w:hAnsi="Palatino Linotype" w:cs="Arial"/>
        </w:rPr>
        <w:t>ndo</w:t>
      </w:r>
      <w:r w:rsidRPr="006D678F">
        <w:rPr>
          <w:rFonts w:ascii="Palatino Linotype" w:hAnsi="Palatino Linotype" w:cs="Arial"/>
        </w:rPr>
        <w:t xml:space="preserve"> el </w:t>
      </w:r>
      <w:r w:rsidRPr="002B5480">
        <w:rPr>
          <w:rFonts w:ascii="Palatino Linotype" w:hAnsi="Palatino Linotype" w:cs="Arial"/>
          <w:b/>
        </w:rPr>
        <w:t>SUJETO OBLIGADO</w:t>
      </w:r>
      <w:r w:rsidRPr="006D678F">
        <w:rPr>
          <w:rFonts w:ascii="Palatino Linotype" w:hAnsi="Palatino Linotype" w:cs="Arial"/>
        </w:rPr>
        <w:t xml:space="preserve">, los Servicios de Seguridad Auxiliar del Estado de México no </w:t>
      </w:r>
      <w:r w:rsidR="00BE4135">
        <w:rPr>
          <w:rFonts w:ascii="Palatino Linotype" w:hAnsi="Palatino Linotype" w:cs="Arial"/>
        </w:rPr>
        <w:t>dependen</w:t>
      </w:r>
      <w:r w:rsidRPr="006D678F">
        <w:rPr>
          <w:rFonts w:ascii="Palatino Linotype" w:hAnsi="Palatino Linotype" w:cs="Arial"/>
        </w:rPr>
        <w:t xml:space="preserve"> de</w:t>
      </w:r>
      <w:r w:rsidR="00BE4135">
        <w:rPr>
          <w:rFonts w:ascii="Palatino Linotype" w:hAnsi="Palatino Linotype" w:cs="Arial"/>
        </w:rPr>
        <w:t xml:space="preserve"> la Secretaría de</w:t>
      </w:r>
      <w:r w:rsidRPr="006D678F">
        <w:rPr>
          <w:rFonts w:ascii="Palatino Linotype" w:hAnsi="Palatino Linotype" w:cs="Arial"/>
        </w:rPr>
        <w:t xml:space="preserve"> Seguridad Pública, si no reciben recursos financieros de los que integran el presupuesto p</w:t>
      </w:r>
      <w:r w:rsidR="005A6108">
        <w:rPr>
          <w:rFonts w:ascii="Palatino Linotype" w:hAnsi="Palatino Linotype" w:cs="Arial"/>
        </w:rPr>
        <w:t xml:space="preserve">úblico de dicha dependencia, </w:t>
      </w:r>
      <w:r w:rsidRPr="006D678F">
        <w:rPr>
          <w:rFonts w:ascii="Palatino Linotype" w:hAnsi="Palatino Linotype" w:cs="Arial"/>
        </w:rPr>
        <w:t xml:space="preserve">no </w:t>
      </w:r>
      <w:r w:rsidR="00BE4135">
        <w:rPr>
          <w:rFonts w:ascii="Palatino Linotype" w:hAnsi="Palatino Linotype" w:cs="Arial"/>
        </w:rPr>
        <w:t>for</w:t>
      </w:r>
      <w:r w:rsidR="005A6108">
        <w:rPr>
          <w:rFonts w:ascii="Palatino Linotype" w:hAnsi="Palatino Linotype" w:cs="Arial"/>
        </w:rPr>
        <w:t xml:space="preserve">man parte de su organigrama, </w:t>
      </w:r>
      <w:r w:rsidR="00BE4135">
        <w:rPr>
          <w:rFonts w:ascii="Palatino Linotype" w:hAnsi="Palatino Linotype" w:cs="Arial"/>
        </w:rPr>
        <w:t xml:space="preserve">no están contemplados en el presupuesto de egresos que se emite cada año, </w:t>
      </w:r>
      <w:r w:rsidR="0055479F">
        <w:rPr>
          <w:rFonts w:ascii="Palatino Linotype" w:hAnsi="Palatino Linotype" w:cs="Arial"/>
        </w:rPr>
        <w:t xml:space="preserve">si no </w:t>
      </w:r>
      <w:r w:rsidRPr="006D678F">
        <w:rPr>
          <w:rFonts w:ascii="Palatino Linotype" w:hAnsi="Palatino Linotype" w:cs="Arial"/>
        </w:rPr>
        <w:t>participan en la ejecución de las acciones que integran los programas y planes gubernamentales</w:t>
      </w:r>
      <w:r>
        <w:rPr>
          <w:rStyle w:val="Refdenotaalpie"/>
          <w:rFonts w:ascii="Palatino Linotype" w:hAnsi="Palatino Linotype" w:cs="Arial"/>
        </w:rPr>
        <w:footnoteReference w:id="3"/>
      </w:r>
      <w:r w:rsidRPr="006D678F">
        <w:rPr>
          <w:rFonts w:ascii="Palatino Linotype" w:hAnsi="Palatino Linotype" w:cs="Arial"/>
        </w:rPr>
        <w:t xml:space="preserve"> y si sus integrantes no son servidores públicos,</w:t>
      </w:r>
      <w:r>
        <w:rPr>
          <w:rStyle w:val="Refdenotaalpie"/>
          <w:rFonts w:ascii="Palatino Linotype" w:hAnsi="Palatino Linotype" w:cs="Arial"/>
        </w:rPr>
        <w:footnoteReference w:id="4"/>
      </w:r>
      <w:r w:rsidRPr="006D678F">
        <w:rPr>
          <w:rFonts w:ascii="Palatino Linotype" w:hAnsi="Palatino Linotype" w:cs="Arial"/>
        </w:rPr>
        <w:t xml:space="preserve"> en consecuencia, la licencia para la </w:t>
      </w:r>
      <w:r w:rsidRPr="006D678F">
        <w:rPr>
          <w:rFonts w:ascii="Palatino Linotype" w:hAnsi="Palatino Linotype" w:cs="Arial"/>
        </w:rPr>
        <w:lastRenderedPageBreak/>
        <w:t>portación de las armas de fuego que ocupan para el desempeño de sus funciones no corresponde a la licencia oficial sino a la particular.</w:t>
      </w:r>
    </w:p>
    <w:p w:rsidR="00D76183" w:rsidRPr="009B0BD7" w:rsidRDefault="00D76183" w:rsidP="00D76183">
      <w:pPr>
        <w:pStyle w:val="Prrafodelista"/>
        <w:rPr>
          <w:rFonts w:ascii="Palatino Linotype" w:hAnsi="Palatino Linotype" w:cs="Arial"/>
          <w:sz w:val="36"/>
        </w:rPr>
      </w:pPr>
    </w:p>
    <w:p w:rsidR="00D76183" w:rsidRDefault="00D76183" w:rsidP="004E4E3E">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 </w:t>
      </w:r>
      <w:r w:rsidRPr="006D678F">
        <w:rPr>
          <w:rFonts w:ascii="Palatino Linotype" w:hAnsi="Palatino Linotype" w:cs="Arial"/>
        </w:rPr>
        <w:t xml:space="preserve">Lo anterior </w:t>
      </w:r>
      <w:r>
        <w:rPr>
          <w:rFonts w:ascii="Palatino Linotype" w:hAnsi="Palatino Linotype" w:cs="Arial"/>
        </w:rPr>
        <w:t>resultaría perfectamente compatible con</w:t>
      </w:r>
      <w:r w:rsidRPr="006D678F">
        <w:rPr>
          <w:rFonts w:ascii="Palatino Linotype" w:hAnsi="Palatino Linotype" w:cs="Arial"/>
        </w:rPr>
        <w:t xml:space="preserve"> lo concluido en la sección anterior al precisarse que los servicios que brinda el organismo en cuestión</w:t>
      </w:r>
      <w:r>
        <w:rPr>
          <w:rFonts w:ascii="Palatino Linotype" w:hAnsi="Palatino Linotype" w:cs="Arial"/>
        </w:rPr>
        <w:t>,</w:t>
      </w:r>
      <w:r w:rsidRPr="006D678F">
        <w:rPr>
          <w:rFonts w:ascii="Palatino Linotype" w:hAnsi="Palatino Linotype" w:cs="Arial"/>
        </w:rPr>
        <w:t xml:space="preserve"> aun cuando se trata de una actividad auxiliar de la función de seguridad pública</w:t>
      </w:r>
      <w:r>
        <w:rPr>
          <w:rFonts w:ascii="Palatino Linotype" w:hAnsi="Palatino Linotype" w:cs="Arial"/>
        </w:rPr>
        <w:t>,</w:t>
      </w:r>
      <w:r w:rsidRPr="006D678F">
        <w:rPr>
          <w:rFonts w:ascii="Palatino Linotype" w:hAnsi="Palatino Linotype" w:cs="Arial"/>
        </w:rPr>
        <w:t xml:space="preserve"> s</w:t>
      </w:r>
      <w:r>
        <w:rPr>
          <w:rFonts w:ascii="Palatino Linotype" w:hAnsi="Palatino Linotype" w:cs="Arial"/>
        </w:rPr>
        <w:t>ería</w:t>
      </w:r>
      <w:r w:rsidRPr="006D678F">
        <w:rPr>
          <w:rFonts w:ascii="Palatino Linotype" w:hAnsi="Palatino Linotype" w:cs="Arial"/>
        </w:rPr>
        <w:t xml:space="preserve"> una acción brindada por un particular que actúa a nombre </w:t>
      </w:r>
      <w:r w:rsidR="00DE4BB4">
        <w:rPr>
          <w:rFonts w:ascii="Palatino Linotype" w:hAnsi="Palatino Linotype" w:cs="Arial"/>
        </w:rPr>
        <w:t>del Estado, autorizado por éste; s</w:t>
      </w:r>
      <w:r>
        <w:rPr>
          <w:rFonts w:ascii="Palatino Linotype" w:hAnsi="Palatino Linotype" w:cs="Arial"/>
        </w:rPr>
        <w:t>in embargo</w:t>
      </w:r>
      <w:r w:rsidR="00DE4BB4">
        <w:rPr>
          <w:rFonts w:ascii="Palatino Linotype" w:hAnsi="Palatino Linotype" w:cs="Arial"/>
        </w:rPr>
        <w:t>,</w:t>
      </w:r>
      <w:r>
        <w:rPr>
          <w:rFonts w:ascii="Palatino Linotype" w:hAnsi="Palatino Linotype" w:cs="Arial"/>
        </w:rPr>
        <w:t xml:space="preserve"> la mayoría de este órgano, </w:t>
      </w:r>
      <w:r w:rsidR="00DE4BB4">
        <w:rPr>
          <w:rFonts w:ascii="Palatino Linotype" w:hAnsi="Palatino Linotype" w:cs="Arial"/>
        </w:rPr>
        <w:t xml:space="preserve">ha </w:t>
      </w:r>
      <w:r>
        <w:rPr>
          <w:rFonts w:ascii="Palatino Linotype" w:hAnsi="Palatino Linotype" w:cs="Arial"/>
        </w:rPr>
        <w:t>emitido resoluciones contradictorias entre sí</w:t>
      </w:r>
      <w:r w:rsidR="00DE4BB4">
        <w:rPr>
          <w:rFonts w:ascii="Palatino Linotype" w:hAnsi="Palatino Linotype" w:cs="Arial"/>
        </w:rPr>
        <w:t xml:space="preserve">, </w:t>
      </w:r>
      <w:r>
        <w:rPr>
          <w:rFonts w:ascii="Palatino Linotype" w:hAnsi="Palatino Linotype" w:cs="Arial"/>
        </w:rPr>
        <w:t xml:space="preserve">ha dicho primero que se trata de un privado, y cuando en su momento propuse una resolución señalando que se trataba de un privado, decidió rechazar dicho criterio porque ya sea público o privado, son claras las atribuciones que </w:t>
      </w:r>
      <w:r w:rsidR="00353185">
        <w:rPr>
          <w:rFonts w:ascii="Palatino Linotype" w:hAnsi="Palatino Linotype" w:cs="Arial"/>
        </w:rPr>
        <w:t xml:space="preserve">dicho ente </w:t>
      </w:r>
      <w:r>
        <w:rPr>
          <w:rFonts w:ascii="Palatino Linotype" w:hAnsi="Palatino Linotype" w:cs="Arial"/>
        </w:rPr>
        <w:t xml:space="preserve">está incumpliendo. </w:t>
      </w:r>
    </w:p>
    <w:p w:rsidR="009B0BD7" w:rsidRPr="009B0BD7" w:rsidRDefault="009B0BD7" w:rsidP="009B0BD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sz w:val="12"/>
        </w:rPr>
      </w:pPr>
    </w:p>
    <w:p w:rsidR="00D76183" w:rsidRDefault="00D76183" w:rsidP="004E4E3E">
      <w:pPr>
        <w:pStyle w:val="Ttulo1"/>
        <w:spacing w:after="240"/>
      </w:pPr>
      <w:bookmarkStart w:id="5" w:name="_Toc1405971"/>
      <w:r w:rsidRPr="00310096">
        <w:t>V</w:t>
      </w:r>
      <w:r w:rsidR="000E196F">
        <w:t>I</w:t>
      </w:r>
      <w:r w:rsidRPr="00310096">
        <w:t>. La relació</w:t>
      </w:r>
      <w:r w:rsidR="006A1485">
        <w:t>n jurídica que existe entre la Secretaría de Seguridad</w:t>
      </w:r>
      <w:r w:rsidRPr="00310096">
        <w:t xml:space="preserve"> y los Cuerpos de Seguridad Auxiliares del Estado de México.</w:t>
      </w:r>
      <w:bookmarkEnd w:id="5"/>
      <w:r w:rsidRPr="00310096">
        <w:t xml:space="preserve"> </w:t>
      </w:r>
    </w:p>
    <w:p w:rsidR="009B0BD7" w:rsidRPr="009B0BD7" w:rsidRDefault="009B0BD7" w:rsidP="009B0BD7"/>
    <w:p w:rsidR="00D76183" w:rsidRPr="007C7FC0" w:rsidRDefault="00D76183" w:rsidP="00D76183">
      <w:pPr>
        <w:rPr>
          <w:sz w:val="16"/>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 xml:space="preserve">Como se señaló en la sección anterior la función de seguridad pública corresponde a los tres niveles de gobierno y, en el caso del Estado de México, los servicios de protección, custodia, vigilancia y seguridad a dependencias y organismos públicos, sociedades mercantiles y demás sujetos referidos previamente pueden ser brindados </w:t>
      </w:r>
      <w:r w:rsidR="00353185">
        <w:rPr>
          <w:rFonts w:ascii="Palatino Linotype" w:hAnsi="Palatino Linotype" w:cs="Arial"/>
        </w:rPr>
        <w:t xml:space="preserve">y autorizados </w:t>
      </w:r>
      <w:r>
        <w:rPr>
          <w:rFonts w:ascii="Palatino Linotype" w:hAnsi="Palatino Linotype" w:cs="Arial"/>
        </w:rPr>
        <w:t xml:space="preserve">por el Estado a través de organismos que tienen el carácter de auxiliares de la función de seguridad pública y que </w:t>
      </w:r>
      <w:r w:rsidR="00353185">
        <w:rPr>
          <w:rFonts w:ascii="Palatino Linotype" w:hAnsi="Palatino Linotype" w:cs="Arial"/>
        </w:rPr>
        <w:t xml:space="preserve">a criterio mayoritario del </w:t>
      </w:r>
      <w:r w:rsidR="00353185">
        <w:rPr>
          <w:rFonts w:ascii="Palatino Linotype" w:hAnsi="Palatino Linotype" w:cs="Arial"/>
        </w:rPr>
        <w:lastRenderedPageBreak/>
        <w:t>P</w:t>
      </w:r>
      <w:r w:rsidR="00DE4BB4">
        <w:rPr>
          <w:rFonts w:ascii="Palatino Linotype" w:hAnsi="Palatino Linotype" w:cs="Arial"/>
        </w:rPr>
        <w:t xml:space="preserve">leno </w:t>
      </w:r>
      <w:r>
        <w:rPr>
          <w:rFonts w:ascii="Palatino Linotype" w:hAnsi="Palatino Linotype" w:cs="Arial"/>
        </w:rPr>
        <w:t xml:space="preserve">se integran por personal que no cuenta con la condición de servidores públicos, </w:t>
      </w:r>
      <w:r w:rsidR="00353185">
        <w:rPr>
          <w:rFonts w:ascii="Palatino Linotype" w:hAnsi="Palatino Linotype" w:cs="Arial"/>
        </w:rPr>
        <w:t>lo cual quedó</w:t>
      </w:r>
      <w:r w:rsidR="00DE4BB4">
        <w:rPr>
          <w:rFonts w:ascii="Palatino Linotype" w:hAnsi="Palatino Linotype" w:cs="Arial"/>
        </w:rPr>
        <w:t xml:space="preserve"> de manifiesto en las </w:t>
      </w:r>
      <w:r>
        <w:rPr>
          <w:rFonts w:ascii="Palatino Linotype" w:hAnsi="Palatino Linotype" w:cs="Arial"/>
        </w:rPr>
        <w:t xml:space="preserve">resoluciones a los recursos de revisión </w:t>
      </w:r>
      <w:r w:rsidRPr="00331BE3">
        <w:rPr>
          <w:rFonts w:ascii="Palatino Linotype" w:hAnsi="Palatino Linotype" w:cs="Arial"/>
        </w:rPr>
        <w:t>01129/INFOEM/IP/RR/2015 y 01130/INFOEM/AD/RR/2015</w:t>
      </w:r>
      <w:r>
        <w:rPr>
          <w:rFonts w:ascii="Palatino Linotype" w:hAnsi="Palatino Linotype" w:cs="Arial"/>
        </w:rPr>
        <w:t xml:space="preserve"> (acumulados), </w:t>
      </w:r>
      <w:r w:rsidR="00DE4BB4">
        <w:rPr>
          <w:rFonts w:ascii="Palatino Linotype" w:hAnsi="Palatino Linotype" w:cs="Arial"/>
        </w:rPr>
        <w:t xml:space="preserve">y que </w:t>
      </w:r>
      <w:r>
        <w:rPr>
          <w:rFonts w:ascii="Palatino Linotype" w:hAnsi="Palatino Linotype" w:cs="Arial"/>
        </w:rPr>
        <w:t>por lo tanto se trataría de prestadores de servicios de seguridad privada.</w:t>
      </w:r>
    </w:p>
    <w:p w:rsidR="00D76183" w:rsidRPr="009B0BD7" w:rsidRDefault="00D76183" w:rsidP="00D76183">
      <w:pPr>
        <w:pStyle w:val="Prrafodelista"/>
        <w:spacing w:line="360" w:lineRule="auto"/>
        <w:ind w:left="142"/>
        <w:jc w:val="both"/>
        <w:rPr>
          <w:rFonts w:ascii="Palatino Linotype" w:hAnsi="Palatino Linotype" w:cs="Arial"/>
          <w:sz w:val="28"/>
        </w:rPr>
      </w:pPr>
      <w:r>
        <w:rPr>
          <w:rFonts w:ascii="Palatino Linotype" w:hAnsi="Palatino Linotype" w:cs="Arial"/>
        </w:rPr>
        <w:t xml:space="preserve"> </w:t>
      </w:r>
    </w:p>
    <w:p w:rsidR="00D76183" w:rsidRPr="009B0BD7"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hAnsi="Palatino Linotype" w:cs="Arial"/>
        </w:rPr>
        <w:t xml:space="preserve"> </w:t>
      </w:r>
      <w:r w:rsidR="00DE4BB4">
        <w:rPr>
          <w:rFonts w:ascii="Palatino Linotype" w:hAnsi="Palatino Linotype" w:cs="Arial"/>
        </w:rPr>
        <w:t>No obstante, e</w:t>
      </w:r>
      <w:r w:rsidRPr="00E0400B">
        <w:rPr>
          <w:rFonts w:ascii="Palatino Linotype" w:hAnsi="Palatino Linotype" w:cs="Arial"/>
        </w:rPr>
        <w:t xml:space="preserve">n </w:t>
      </w:r>
      <w:r>
        <w:rPr>
          <w:rFonts w:ascii="Palatino Linotype" w:hAnsi="Palatino Linotype" w:cs="Arial"/>
        </w:rPr>
        <w:t>todos estos casos</w:t>
      </w:r>
      <w:r w:rsidRPr="00E0400B">
        <w:rPr>
          <w:rFonts w:ascii="Palatino Linotype" w:hAnsi="Palatino Linotype" w:cs="Arial"/>
        </w:rPr>
        <w:t xml:space="preserve"> el </w:t>
      </w:r>
      <w:r w:rsidRPr="00E0400B">
        <w:rPr>
          <w:rFonts w:ascii="Palatino Linotype" w:eastAsia="Calibri" w:hAnsi="Palatino Linotype"/>
          <w:b/>
          <w:lang w:val="es-ES" w:eastAsia="es-ES"/>
        </w:rPr>
        <w:t>SUJETO OBLIGADO,</w:t>
      </w:r>
      <w:r w:rsidRPr="00E0400B">
        <w:rPr>
          <w:rFonts w:ascii="Palatino Linotype" w:hAnsi="Palatino Linotype" w:cs="Arial"/>
        </w:rPr>
        <w:t xml:space="preserve"> al referirse a lo dispuesto en </w:t>
      </w:r>
      <w:r w:rsidRPr="00E0400B">
        <w:rPr>
          <w:rFonts w:ascii="Palatino Linotype" w:eastAsia="Calibri" w:hAnsi="Palatino Linotype"/>
          <w:lang w:eastAsia="es-ES"/>
        </w:rPr>
        <w:t>la fracción XXII del artículo 10 del Reglamento Interior de la Comisión Estatal de Seguridad Ciudadana y deducir de ello que la relación que existe es estrictamente operativa y en situaciones de urgencia, realiza una lectura parcial, limitada y defectuosa de los ordenamientos jurídicos que, como dependencia especializada, debería de operar con mayor claridad y consistencia.</w:t>
      </w:r>
    </w:p>
    <w:p w:rsidR="009B0BD7" w:rsidRPr="009B0BD7" w:rsidRDefault="009B0BD7" w:rsidP="009B0BD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sz w:val="14"/>
        </w:rPr>
      </w:pPr>
    </w:p>
    <w:p w:rsidR="00D76183" w:rsidRPr="007C7FC0" w:rsidRDefault="00D76183" w:rsidP="00D76183">
      <w:pPr>
        <w:pStyle w:val="Prrafodelista"/>
        <w:rPr>
          <w:rFonts w:ascii="Palatino Linotype" w:eastAsia="Calibri" w:hAnsi="Palatino Linotype"/>
          <w:sz w:val="16"/>
          <w:lang w:eastAsia="es-ES"/>
        </w:rPr>
      </w:pPr>
    </w:p>
    <w:p w:rsidR="00D76183" w:rsidRPr="009B0BD7"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eastAsia="Calibri" w:hAnsi="Palatino Linotype"/>
          <w:lang w:eastAsia="es-ES"/>
        </w:rPr>
        <w:t xml:space="preserve"> </w:t>
      </w:r>
      <w:r w:rsidRPr="00E0400B">
        <w:rPr>
          <w:rFonts w:ascii="Palatino Linotype" w:eastAsia="Calibri" w:hAnsi="Palatino Linotype"/>
          <w:lang w:eastAsia="es-ES"/>
        </w:rPr>
        <w:t xml:space="preserve">Lo anterior en virtud de que es función del Secretario de Seguridad Ciudadana coordinar tanto a las Instituciones Policiales Estatales como a los organismos en cuestión, según lo señala el artículo 16 fracción IV de la Ley de Seguridad del Estado de México, y aún las propias disposiciones citadas por el </w:t>
      </w:r>
      <w:r w:rsidRPr="002B5480">
        <w:rPr>
          <w:rFonts w:ascii="Palatino Linotype" w:eastAsia="Calibri" w:hAnsi="Palatino Linotype"/>
          <w:b/>
          <w:caps/>
          <w:lang w:eastAsia="es-ES"/>
        </w:rPr>
        <w:t>Sujeto Obligado</w:t>
      </w:r>
      <w:r w:rsidRPr="00E0400B">
        <w:rPr>
          <w:rFonts w:ascii="Palatino Linotype" w:eastAsia="Calibri" w:hAnsi="Palatino Linotype"/>
          <w:lang w:eastAsia="es-ES"/>
        </w:rPr>
        <w:t xml:space="preserve">, entre ellas el segundo párrafo del artículo 103 de esta misma ley, refiere que la </w:t>
      </w:r>
      <w:r w:rsidRPr="00E0400B">
        <w:rPr>
          <w:rFonts w:ascii="Palatino Linotype" w:eastAsia="Calibri" w:hAnsi="Palatino Linotype"/>
          <w:i/>
          <w:lang w:eastAsia="es-ES"/>
        </w:rPr>
        <w:t>organización y funcionamiento</w:t>
      </w:r>
      <w:r w:rsidRPr="00E0400B">
        <w:rPr>
          <w:rFonts w:ascii="Palatino Linotype" w:eastAsia="Calibri" w:hAnsi="Palatino Linotype"/>
          <w:lang w:eastAsia="es-ES"/>
        </w:rPr>
        <w:t xml:space="preserve"> de estos cuerpos de seguridad, se regularán por </w:t>
      </w:r>
      <w:r w:rsidRPr="00E0400B">
        <w:rPr>
          <w:rFonts w:ascii="Palatino Linotype" w:eastAsia="Calibri" w:hAnsi="Palatino Linotype"/>
          <w:i/>
          <w:lang w:eastAsia="es-ES"/>
        </w:rPr>
        <w:t>las disposiciones administrativas que emitan las dependencias del Gobierno del Estado</w:t>
      </w:r>
      <w:r w:rsidRPr="00E0400B">
        <w:rPr>
          <w:rFonts w:ascii="Palatino Linotype" w:eastAsia="Calibri" w:hAnsi="Palatino Linotype"/>
          <w:lang w:eastAsia="es-ES"/>
        </w:rPr>
        <w:t>.</w:t>
      </w:r>
    </w:p>
    <w:p w:rsidR="009B0BD7" w:rsidRPr="00E0400B" w:rsidRDefault="009B0BD7" w:rsidP="009B0BD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p>
    <w:p w:rsidR="00D76183" w:rsidRPr="00B11ABA" w:rsidRDefault="006D55D7"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Pr>
          <w:rFonts w:ascii="Palatino Linotype" w:eastAsia="Calibri" w:hAnsi="Palatino Linotype"/>
          <w:lang w:eastAsia="es-ES"/>
        </w:rPr>
        <w:lastRenderedPageBreak/>
        <w:t xml:space="preserve">Sirve precisar que en la disposición normativa que reitera el </w:t>
      </w:r>
      <w:r w:rsidRPr="006D55D7">
        <w:rPr>
          <w:rFonts w:ascii="Palatino Linotype" w:eastAsia="Calibri" w:hAnsi="Palatino Linotype"/>
          <w:b/>
          <w:lang w:eastAsia="es-ES"/>
        </w:rPr>
        <w:t>SUJETO OBLIGADO</w:t>
      </w:r>
      <w:r>
        <w:rPr>
          <w:rFonts w:ascii="Palatino Linotype" w:eastAsia="Calibri" w:hAnsi="Palatino Linotype"/>
          <w:lang w:eastAsia="es-ES"/>
        </w:rPr>
        <w:t>, mediante respuesta e informe justificado y que corresponde al</w:t>
      </w:r>
      <w:r w:rsidR="00D76183" w:rsidRPr="00E0400B">
        <w:rPr>
          <w:rFonts w:ascii="Palatino Linotype" w:eastAsia="Calibri" w:hAnsi="Palatino Linotype"/>
          <w:lang w:eastAsia="es-ES"/>
        </w:rPr>
        <w:t xml:space="preserve"> Reglamento Interior de la Comisión Estatal de Seguridad Ciudadana, señalando que su relación se limita a coordinar operativamente a dichos organismos auxiliares, según lo referido en la fracción XXII del artículo 10 del Reglamento en cuestión, omit</w:t>
      </w:r>
      <w:r>
        <w:rPr>
          <w:rFonts w:ascii="Palatino Linotype" w:eastAsia="Calibri" w:hAnsi="Palatino Linotype"/>
          <w:lang w:eastAsia="es-ES"/>
        </w:rPr>
        <w:t>e</w:t>
      </w:r>
      <w:r w:rsidR="00D76183" w:rsidRPr="00E0400B">
        <w:rPr>
          <w:rFonts w:ascii="Palatino Linotype" w:eastAsia="Calibri" w:hAnsi="Palatino Linotype"/>
          <w:lang w:eastAsia="es-ES"/>
        </w:rPr>
        <w:t xml:space="preserve"> señalar que </w:t>
      </w:r>
      <w:r w:rsidR="00AB39E6">
        <w:rPr>
          <w:rFonts w:ascii="Palatino Linotype" w:eastAsia="Calibri" w:hAnsi="Palatino Linotype"/>
          <w:lang w:eastAsia="es-ES"/>
        </w:rPr>
        <w:t>tres</w:t>
      </w:r>
      <w:r w:rsidR="00D76183" w:rsidRPr="00E0400B">
        <w:rPr>
          <w:rFonts w:ascii="Palatino Linotype" w:eastAsia="Calibri" w:hAnsi="Palatino Linotype"/>
          <w:lang w:eastAsia="es-ES"/>
        </w:rPr>
        <w:t xml:space="preserve"> fracciones previas de la porción legal aludida facultan a la misma dependencia para:</w:t>
      </w:r>
    </w:p>
    <w:p w:rsidR="00AB39E6" w:rsidRPr="00B25A23" w:rsidRDefault="00B25A23" w:rsidP="00B25A23">
      <w:pPr>
        <w:spacing w:before="240" w:after="240" w:line="276" w:lineRule="auto"/>
        <w:ind w:left="567" w:right="616"/>
        <w:jc w:val="both"/>
        <w:rPr>
          <w:rFonts w:ascii="Palatino Linotype" w:eastAsia="Calibri" w:hAnsi="Palatino Linotype"/>
          <w:i/>
          <w:sz w:val="22"/>
          <w:lang w:eastAsia="es-ES"/>
        </w:rPr>
      </w:pPr>
      <w:r>
        <w:rPr>
          <w:rFonts w:ascii="Palatino Linotype" w:hAnsi="Palatino Linotype"/>
          <w:i/>
          <w:sz w:val="22"/>
        </w:rPr>
        <w:t>“</w:t>
      </w:r>
      <w:r w:rsidR="00AB39E6" w:rsidRPr="00B25A23">
        <w:rPr>
          <w:rFonts w:ascii="Palatino Linotype" w:hAnsi="Palatino Linotype"/>
          <w:i/>
          <w:sz w:val="22"/>
        </w:rPr>
        <w:t>XIX. Autorizar la prestación del servicio de seguridad privada en el territorio del Estado de México, y, en su caso, la revalidación, revocación o modificación de la autorización otorgada para dicho efecto.</w:t>
      </w:r>
    </w:p>
    <w:p w:rsidR="00D76183" w:rsidRPr="00B25A23" w:rsidRDefault="00D76183" w:rsidP="00B25A23">
      <w:pPr>
        <w:spacing w:before="240" w:after="240" w:line="276" w:lineRule="auto"/>
        <w:ind w:left="567" w:right="616"/>
        <w:jc w:val="both"/>
        <w:rPr>
          <w:rFonts w:ascii="Palatino Linotype" w:eastAsia="Calibri" w:hAnsi="Palatino Linotype"/>
          <w:i/>
          <w:sz w:val="22"/>
          <w:lang w:eastAsia="es-ES"/>
        </w:rPr>
      </w:pPr>
      <w:r w:rsidRPr="00B25A23">
        <w:rPr>
          <w:rFonts w:ascii="Palatino Linotype" w:eastAsia="Calibri" w:hAnsi="Palatino Linotype"/>
          <w:i/>
          <w:sz w:val="22"/>
          <w:lang w:eastAsia="es-ES"/>
        </w:rPr>
        <w:t>XX. Regular, coordinar, supervisar y controlar a los prestadores de servicios de seguridad privada y verificar el cumplimiento de las disposiciones normativas en la materia, así como recibir, atender y resolver las quejas sobre su actuación.</w:t>
      </w:r>
    </w:p>
    <w:p w:rsidR="00D76183" w:rsidRDefault="00D76183" w:rsidP="00B25A23">
      <w:pPr>
        <w:spacing w:before="240" w:after="240" w:line="276" w:lineRule="auto"/>
        <w:ind w:left="567" w:right="616"/>
        <w:jc w:val="both"/>
        <w:rPr>
          <w:rFonts w:ascii="Palatino Linotype" w:eastAsia="Calibri" w:hAnsi="Palatino Linotype"/>
          <w:i/>
          <w:sz w:val="22"/>
          <w:lang w:eastAsia="es-ES"/>
        </w:rPr>
      </w:pPr>
      <w:r w:rsidRPr="00B25A23">
        <w:rPr>
          <w:rFonts w:ascii="Palatino Linotype" w:eastAsia="Calibri" w:hAnsi="Palatino Linotype"/>
          <w:i/>
          <w:sz w:val="22"/>
          <w:lang w:eastAsia="es-ES"/>
        </w:rPr>
        <w:t>XXI. Realizar el registro, seguimiento y control del personal de la Comisión y de los prestadores del servicio de seguridad privada, así como el de los cuerpos preventivos de seguridad pública municipal.</w:t>
      </w:r>
      <w:r w:rsidR="00B25A23">
        <w:rPr>
          <w:rFonts w:ascii="Palatino Linotype" w:eastAsia="Calibri" w:hAnsi="Palatino Linotype"/>
          <w:i/>
          <w:sz w:val="22"/>
          <w:lang w:eastAsia="es-ES"/>
        </w:rPr>
        <w:t>”</w:t>
      </w:r>
    </w:p>
    <w:p w:rsidR="009B0BD7" w:rsidRPr="009B0BD7" w:rsidRDefault="009B0BD7" w:rsidP="00B25A23">
      <w:pPr>
        <w:spacing w:before="240" w:after="240" w:line="276" w:lineRule="auto"/>
        <w:ind w:left="567" w:right="616"/>
        <w:jc w:val="both"/>
        <w:rPr>
          <w:rFonts w:ascii="Palatino Linotype" w:eastAsia="Calibri" w:hAnsi="Palatino Linotype"/>
          <w:i/>
          <w:sz w:val="6"/>
          <w:lang w:eastAsia="es-ES"/>
        </w:rPr>
      </w:pPr>
    </w:p>
    <w:p w:rsidR="006D55D7" w:rsidRDefault="00AB0D5F"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Fracciones de la normatividad</w:t>
      </w:r>
      <w:r w:rsidR="006D55D7">
        <w:rPr>
          <w:rFonts w:ascii="Palatino Linotype" w:eastAsia="Calibri" w:hAnsi="Palatino Linotype"/>
          <w:lang w:eastAsia="es-ES"/>
        </w:rPr>
        <w:t xml:space="preserve"> que se precisaron en el proyecto de resolución </w:t>
      </w:r>
      <w:r>
        <w:rPr>
          <w:rFonts w:ascii="Palatino Linotype" w:eastAsia="Calibri" w:hAnsi="Palatino Linotype"/>
          <w:lang w:eastAsia="es-ES"/>
        </w:rPr>
        <w:t>de</w:t>
      </w:r>
      <w:r w:rsidR="006D55D7">
        <w:rPr>
          <w:rFonts w:ascii="Palatino Linotype" w:eastAsia="Calibri" w:hAnsi="Palatino Linotype"/>
          <w:lang w:eastAsia="es-ES"/>
        </w:rPr>
        <w:t xml:space="preserve">l recurso de revisión en cuestión, con la finalidad </w:t>
      </w:r>
      <w:r>
        <w:rPr>
          <w:rFonts w:ascii="Palatino Linotype" w:eastAsia="Calibri" w:hAnsi="Palatino Linotype"/>
          <w:lang w:eastAsia="es-ES"/>
        </w:rPr>
        <w:t xml:space="preserve">de ligar una posible y concreta relación jurídica de la que se pudieran presumir atribuciones del </w:t>
      </w:r>
      <w:r w:rsidRPr="00AB0D5F">
        <w:rPr>
          <w:rFonts w:ascii="Palatino Linotype" w:eastAsia="Calibri" w:hAnsi="Palatino Linotype"/>
          <w:b/>
          <w:lang w:eastAsia="es-ES"/>
        </w:rPr>
        <w:t>SUJETO OBLIGADO</w:t>
      </w:r>
      <w:r>
        <w:rPr>
          <w:rFonts w:ascii="Palatino Linotype" w:eastAsia="Calibri" w:hAnsi="Palatino Linotype"/>
          <w:lang w:eastAsia="es-ES"/>
        </w:rPr>
        <w:t xml:space="preserve"> para contar l</w:t>
      </w:r>
      <w:r w:rsidR="00353185">
        <w:rPr>
          <w:rFonts w:ascii="Palatino Linotype" w:eastAsia="Calibri" w:hAnsi="Palatino Linotype"/>
          <w:lang w:eastAsia="es-ES"/>
        </w:rPr>
        <w:t>a</w:t>
      </w:r>
      <w:r>
        <w:rPr>
          <w:rFonts w:ascii="Palatino Linotype" w:eastAsia="Calibri" w:hAnsi="Palatino Linotype"/>
          <w:lang w:eastAsia="es-ES"/>
        </w:rPr>
        <w:t xml:space="preserve"> información requerida.</w:t>
      </w:r>
    </w:p>
    <w:p w:rsidR="00B25A23" w:rsidRPr="009B0BD7" w:rsidRDefault="00B25A23" w:rsidP="00B25A2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sz w:val="22"/>
          <w:lang w:eastAsia="es-ES"/>
        </w:rPr>
      </w:pPr>
    </w:p>
    <w:p w:rsidR="00D76183" w:rsidRDefault="00AB0D5F"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lastRenderedPageBreak/>
        <w:t>Aunado a lo anterior, n</w:t>
      </w:r>
      <w:r w:rsidR="00D76183">
        <w:rPr>
          <w:rFonts w:ascii="Palatino Linotype" w:eastAsia="Calibri" w:hAnsi="Palatino Linotype"/>
          <w:lang w:eastAsia="es-ES"/>
        </w:rPr>
        <w:t xml:space="preserve">o está por demás señalar que la fracción primera de dicho artículo, faculta a la Comisión para </w:t>
      </w:r>
      <w:r w:rsidR="00D76183" w:rsidRPr="008A63DC">
        <w:rPr>
          <w:rFonts w:ascii="Palatino Linotype" w:eastAsia="Calibri" w:hAnsi="Palatino Linotype"/>
          <w:i/>
          <w:lang w:eastAsia="es-ES"/>
        </w:rPr>
        <w:t xml:space="preserve">coordinar los servicios de seguridad pública y de prevención del delito al interior del Estado y </w:t>
      </w:r>
      <w:r w:rsidR="00D76183" w:rsidRPr="00AB0D5F">
        <w:rPr>
          <w:rFonts w:ascii="Palatino Linotype" w:eastAsia="Calibri" w:hAnsi="Palatino Linotype"/>
          <w:i/>
          <w:lang w:eastAsia="es-ES"/>
        </w:rPr>
        <w:t>salvaguardar la integridad, los derechos y bienes de las personas, así como preservar la libertad, el orden y la paz públicos</w:t>
      </w:r>
      <w:r w:rsidR="00D76183" w:rsidRPr="00AB0D5F">
        <w:rPr>
          <w:rFonts w:ascii="Palatino Linotype" w:eastAsia="Calibri" w:hAnsi="Palatino Linotype"/>
          <w:lang w:eastAsia="es-ES"/>
        </w:rPr>
        <w:t>.</w:t>
      </w:r>
    </w:p>
    <w:p w:rsidR="00D76183" w:rsidRPr="009B0BD7" w:rsidRDefault="00D76183" w:rsidP="00D76183">
      <w:pPr>
        <w:pStyle w:val="Prrafodelista"/>
        <w:spacing w:line="360" w:lineRule="auto"/>
        <w:ind w:left="142"/>
        <w:jc w:val="both"/>
        <w:rPr>
          <w:rFonts w:ascii="Palatino Linotype" w:eastAsia="Calibri" w:hAnsi="Palatino Linotype"/>
          <w:lang w:eastAsia="es-ES"/>
        </w:rPr>
      </w:pPr>
      <w:r>
        <w:rPr>
          <w:rFonts w:ascii="Palatino Linotype" w:eastAsia="Calibri" w:hAnsi="Palatino Linotype"/>
          <w:lang w:eastAsia="es-ES"/>
        </w:rPr>
        <w:t xml:space="preserve"> </w:t>
      </w:r>
    </w:p>
    <w:p w:rsidR="000938C9"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sidRPr="00E0400B">
        <w:rPr>
          <w:rFonts w:ascii="Palatino Linotype" w:eastAsia="Calibri" w:hAnsi="Palatino Linotype"/>
          <w:lang w:eastAsia="es-ES"/>
        </w:rPr>
        <w:t xml:space="preserve">De </w:t>
      </w:r>
      <w:r w:rsidR="00AB0D5F">
        <w:rPr>
          <w:rFonts w:ascii="Palatino Linotype" w:eastAsia="Calibri" w:hAnsi="Palatino Linotype"/>
          <w:lang w:eastAsia="es-ES"/>
        </w:rPr>
        <w:t xml:space="preserve">las disposiciones jurídicas antes precisadas y bajo las cuales se rige la </w:t>
      </w:r>
      <w:r w:rsidR="00AB0D5F" w:rsidRPr="00AB0D5F">
        <w:rPr>
          <w:rFonts w:ascii="Palatino Linotype" w:eastAsia="Calibri" w:hAnsi="Palatino Linotype"/>
          <w:b/>
          <w:lang w:eastAsia="es-ES"/>
        </w:rPr>
        <w:t>Secretaría de Seguridad</w:t>
      </w:r>
      <w:r w:rsidR="00AB0D5F">
        <w:rPr>
          <w:rFonts w:ascii="Palatino Linotype" w:eastAsia="Calibri" w:hAnsi="Palatino Linotype"/>
          <w:lang w:eastAsia="es-ES"/>
        </w:rPr>
        <w:t xml:space="preserve">, se colige que tiene dentro del ámbito de sus competencias </w:t>
      </w:r>
      <w:r w:rsidR="00353185">
        <w:rPr>
          <w:rFonts w:ascii="Palatino Linotype" w:eastAsia="Calibri" w:hAnsi="Palatino Linotype"/>
          <w:lang w:eastAsia="es-ES"/>
        </w:rPr>
        <w:t xml:space="preserve">esta </w:t>
      </w:r>
      <w:r w:rsidRPr="00E0400B">
        <w:rPr>
          <w:rFonts w:ascii="Palatino Linotype" w:eastAsia="Calibri" w:hAnsi="Palatino Linotype"/>
          <w:lang w:eastAsia="es-ES"/>
        </w:rPr>
        <w:t>coordina</w:t>
      </w:r>
      <w:r w:rsidR="00AB0D5F">
        <w:rPr>
          <w:rFonts w:ascii="Palatino Linotype" w:eastAsia="Calibri" w:hAnsi="Palatino Linotype"/>
          <w:lang w:eastAsia="es-ES"/>
        </w:rPr>
        <w:t>r</w:t>
      </w:r>
      <w:r w:rsidRPr="00E0400B">
        <w:rPr>
          <w:rFonts w:ascii="Palatino Linotype" w:eastAsia="Calibri" w:hAnsi="Palatino Linotype"/>
          <w:lang w:eastAsia="es-ES"/>
        </w:rPr>
        <w:t xml:space="preserve"> a todos los cuerpos de seguridad pública, registra</w:t>
      </w:r>
      <w:r w:rsidR="000938C9">
        <w:rPr>
          <w:rFonts w:ascii="Palatino Linotype" w:eastAsia="Calibri" w:hAnsi="Palatino Linotype"/>
          <w:lang w:eastAsia="es-ES"/>
        </w:rPr>
        <w:t>r</w:t>
      </w:r>
      <w:r w:rsidRPr="00E0400B">
        <w:rPr>
          <w:rFonts w:ascii="Palatino Linotype" w:eastAsia="Calibri" w:hAnsi="Palatino Linotype"/>
          <w:lang w:eastAsia="es-ES"/>
        </w:rPr>
        <w:t>, da</w:t>
      </w:r>
      <w:r w:rsidR="000938C9">
        <w:rPr>
          <w:rFonts w:ascii="Palatino Linotype" w:eastAsia="Calibri" w:hAnsi="Palatino Linotype"/>
          <w:lang w:eastAsia="es-ES"/>
        </w:rPr>
        <w:t>r</w:t>
      </w:r>
      <w:r w:rsidRPr="00E0400B">
        <w:rPr>
          <w:rFonts w:ascii="Palatino Linotype" w:eastAsia="Calibri" w:hAnsi="Palatino Linotype"/>
          <w:lang w:eastAsia="es-ES"/>
        </w:rPr>
        <w:t xml:space="preserve"> seguimiento y control al personal</w:t>
      </w:r>
      <w:r w:rsidR="000938C9">
        <w:rPr>
          <w:rFonts w:ascii="Palatino Linotype" w:eastAsia="Calibri" w:hAnsi="Palatino Linotype"/>
          <w:lang w:eastAsia="es-ES"/>
        </w:rPr>
        <w:t>,</w:t>
      </w:r>
      <w:r w:rsidRPr="00E0400B">
        <w:rPr>
          <w:rFonts w:ascii="Palatino Linotype" w:eastAsia="Calibri" w:hAnsi="Palatino Linotype"/>
          <w:lang w:eastAsia="es-ES"/>
        </w:rPr>
        <w:t xml:space="preserve"> tanto de dicha dependencia como de los cuerpos preventivos de seguridad pública municipal, todos los anteriores integrados por servidores públicos; regula</w:t>
      </w:r>
      <w:r w:rsidR="000938C9">
        <w:rPr>
          <w:rFonts w:ascii="Palatino Linotype" w:eastAsia="Calibri" w:hAnsi="Palatino Linotype"/>
          <w:lang w:eastAsia="es-ES"/>
        </w:rPr>
        <w:t>r</w:t>
      </w:r>
      <w:r w:rsidRPr="00E0400B">
        <w:rPr>
          <w:rFonts w:ascii="Palatino Linotype" w:eastAsia="Calibri" w:hAnsi="Palatino Linotype"/>
          <w:lang w:eastAsia="es-ES"/>
        </w:rPr>
        <w:t>, coordina</w:t>
      </w:r>
      <w:r w:rsidR="000938C9">
        <w:rPr>
          <w:rFonts w:ascii="Palatino Linotype" w:eastAsia="Calibri" w:hAnsi="Palatino Linotype"/>
          <w:lang w:eastAsia="es-ES"/>
        </w:rPr>
        <w:t>r</w:t>
      </w:r>
      <w:r w:rsidRPr="00E0400B">
        <w:rPr>
          <w:rFonts w:ascii="Palatino Linotype" w:eastAsia="Calibri" w:hAnsi="Palatino Linotype"/>
          <w:lang w:eastAsia="es-ES"/>
        </w:rPr>
        <w:t>, supervisa</w:t>
      </w:r>
      <w:r w:rsidR="000938C9">
        <w:rPr>
          <w:rFonts w:ascii="Palatino Linotype" w:eastAsia="Calibri" w:hAnsi="Palatino Linotype"/>
          <w:lang w:eastAsia="es-ES"/>
        </w:rPr>
        <w:t>r</w:t>
      </w:r>
      <w:r w:rsidRPr="00E0400B">
        <w:rPr>
          <w:rFonts w:ascii="Palatino Linotype" w:eastAsia="Calibri" w:hAnsi="Palatino Linotype"/>
          <w:lang w:eastAsia="es-ES"/>
        </w:rPr>
        <w:t xml:space="preserve"> y controla</w:t>
      </w:r>
      <w:r w:rsidR="000938C9">
        <w:rPr>
          <w:rFonts w:ascii="Palatino Linotype" w:eastAsia="Calibri" w:hAnsi="Palatino Linotype"/>
          <w:lang w:eastAsia="es-ES"/>
        </w:rPr>
        <w:t>r</w:t>
      </w:r>
      <w:r w:rsidRPr="00E0400B">
        <w:rPr>
          <w:rFonts w:ascii="Palatino Linotype" w:eastAsia="Calibri" w:hAnsi="Palatino Linotype"/>
          <w:lang w:eastAsia="es-ES"/>
        </w:rPr>
        <w:t xml:space="preserve"> a los organismos integrados por </w:t>
      </w:r>
      <w:r w:rsidR="000938C9">
        <w:rPr>
          <w:rFonts w:ascii="Palatino Linotype" w:eastAsia="Calibri" w:hAnsi="Palatino Linotype"/>
          <w:lang w:eastAsia="es-ES"/>
        </w:rPr>
        <w:t>prestadores de seguridad privada</w:t>
      </w:r>
      <w:r w:rsidR="00B25A23">
        <w:rPr>
          <w:rFonts w:ascii="Palatino Linotype" w:eastAsia="Calibri" w:hAnsi="Palatino Linotype"/>
          <w:lang w:eastAsia="es-ES"/>
        </w:rPr>
        <w:t>; así como, autorizar la prestación del servicio de seguridad privada en el territorio del Estado de México.</w:t>
      </w:r>
    </w:p>
    <w:p w:rsidR="000938C9" w:rsidRPr="009B0BD7" w:rsidRDefault="000938C9" w:rsidP="000938C9">
      <w:pPr>
        <w:pStyle w:val="Prrafodelista"/>
        <w:rPr>
          <w:rFonts w:ascii="Palatino Linotype" w:eastAsia="Calibri" w:hAnsi="Palatino Linotype"/>
          <w:sz w:val="36"/>
          <w:lang w:eastAsia="es-ES"/>
        </w:rPr>
      </w:pPr>
    </w:p>
    <w:p w:rsidR="00111B9C" w:rsidRDefault="000938C9" w:rsidP="00111B9C">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Ahora, si bien nos encontramos ante solicitudes en donde la ciudadanía requiere conocer información de este tipo de personal, que a criterio de la ma</w:t>
      </w:r>
      <w:r w:rsidR="00353185">
        <w:rPr>
          <w:rFonts w:ascii="Palatino Linotype" w:eastAsia="Calibri" w:hAnsi="Palatino Linotype"/>
          <w:lang w:eastAsia="es-ES"/>
        </w:rPr>
        <w:t>yoría de los que integramos el Pleno</w:t>
      </w:r>
      <w:r>
        <w:rPr>
          <w:rFonts w:ascii="Palatino Linotype" w:eastAsia="Calibri" w:hAnsi="Palatino Linotype"/>
          <w:lang w:eastAsia="es-ES"/>
        </w:rPr>
        <w:t xml:space="preserve"> son prestadores de servicios de seguridad privada, es importante analizar y traer a contexto, que jurídicamente en los contratos </w:t>
      </w:r>
      <w:r w:rsidR="00111B9C">
        <w:rPr>
          <w:rFonts w:ascii="Palatino Linotype" w:eastAsia="Calibri" w:hAnsi="Palatino Linotype"/>
          <w:lang w:eastAsia="es-ES"/>
        </w:rPr>
        <w:t xml:space="preserve">celebrados por </w:t>
      </w:r>
      <w:r w:rsidRPr="00111B9C">
        <w:rPr>
          <w:rFonts w:ascii="Palatino Linotype" w:eastAsia="Calibri" w:hAnsi="Palatino Linotype"/>
          <w:lang w:eastAsia="es-ES"/>
        </w:rPr>
        <w:t xml:space="preserve">estos Cuerpos de Seguridad Auxiliares del Estado de México </w:t>
      </w:r>
      <w:r w:rsidR="00111B9C">
        <w:rPr>
          <w:rFonts w:ascii="Palatino Linotype" w:eastAsia="Calibri" w:hAnsi="Palatino Linotype"/>
          <w:lang w:eastAsia="es-ES"/>
        </w:rPr>
        <w:t xml:space="preserve">en relación al pago por concepto de aportaciones de seguridad, reiteran que el personal que </w:t>
      </w:r>
      <w:r w:rsidR="00353185">
        <w:rPr>
          <w:rFonts w:ascii="Palatino Linotype" w:eastAsia="Calibri" w:hAnsi="Palatino Linotype"/>
          <w:lang w:eastAsia="es-ES"/>
        </w:rPr>
        <w:t xml:space="preserve">lo </w:t>
      </w:r>
      <w:r w:rsidR="00111B9C">
        <w:rPr>
          <w:rFonts w:ascii="Palatino Linotype" w:eastAsia="Calibri" w:hAnsi="Palatino Linotype"/>
          <w:lang w:eastAsia="es-ES"/>
        </w:rPr>
        <w:t>integra</w:t>
      </w:r>
      <w:r w:rsidR="00353185">
        <w:rPr>
          <w:rFonts w:ascii="Palatino Linotype" w:eastAsia="Calibri" w:hAnsi="Palatino Linotype"/>
          <w:lang w:eastAsia="es-ES"/>
        </w:rPr>
        <w:t>n</w:t>
      </w:r>
      <w:r w:rsidR="00111B9C">
        <w:rPr>
          <w:rFonts w:ascii="Palatino Linotype" w:eastAsia="Calibri" w:hAnsi="Palatino Linotype"/>
          <w:lang w:eastAsia="es-ES"/>
        </w:rPr>
        <w:t xml:space="preserve"> son servidores públicos y que incluso dependen la  </w:t>
      </w:r>
      <w:r w:rsidR="00111B9C" w:rsidRPr="00111B9C">
        <w:rPr>
          <w:rFonts w:ascii="Palatino Linotype" w:eastAsia="Calibri" w:hAnsi="Palatino Linotype"/>
          <w:b/>
          <w:lang w:eastAsia="es-ES"/>
        </w:rPr>
        <w:t>Secretaría de Seguridad</w:t>
      </w:r>
      <w:r w:rsidR="00111B9C">
        <w:rPr>
          <w:rFonts w:ascii="Palatino Linotype" w:eastAsia="Calibri" w:hAnsi="Palatino Linotype"/>
          <w:lang w:eastAsia="es-ES"/>
        </w:rPr>
        <w:t xml:space="preserve">, contrario a lo que el </w:t>
      </w:r>
      <w:r w:rsidR="00111B9C" w:rsidRPr="00111B9C">
        <w:rPr>
          <w:rFonts w:ascii="Palatino Linotype" w:eastAsia="Calibri" w:hAnsi="Palatino Linotype"/>
          <w:b/>
          <w:lang w:eastAsia="es-ES"/>
        </w:rPr>
        <w:t>SUJETO OBLIGADO</w:t>
      </w:r>
      <w:r w:rsidR="00111B9C">
        <w:rPr>
          <w:rFonts w:ascii="Palatino Linotype" w:eastAsia="Calibri" w:hAnsi="Palatino Linotype"/>
          <w:lang w:eastAsia="es-ES"/>
        </w:rPr>
        <w:t xml:space="preserve"> a manifestado </w:t>
      </w:r>
      <w:r w:rsidR="00111B9C">
        <w:rPr>
          <w:rFonts w:ascii="Palatino Linotype" w:eastAsia="Calibri" w:hAnsi="Palatino Linotype"/>
          <w:lang w:eastAsia="es-ES"/>
        </w:rPr>
        <w:lastRenderedPageBreak/>
        <w:t>en diversas solicitudes de acceso a la información, incluida la que derivo el recurso de revisión en cuestión, vulnerando así el derecho que se encuentra constreñido a tutelar.</w:t>
      </w:r>
    </w:p>
    <w:p w:rsidR="00111B9C" w:rsidRPr="009B0BD7" w:rsidRDefault="00111B9C" w:rsidP="00111B9C">
      <w:pPr>
        <w:pStyle w:val="Prrafodelista"/>
        <w:rPr>
          <w:rFonts w:ascii="Palatino Linotype" w:eastAsia="Calibri" w:hAnsi="Palatino Linotype"/>
          <w:sz w:val="36"/>
          <w:lang w:eastAsia="es-ES"/>
        </w:rPr>
      </w:pPr>
    </w:p>
    <w:p w:rsidR="000938C9" w:rsidRPr="00111B9C" w:rsidRDefault="00111B9C" w:rsidP="00111B9C">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 xml:space="preserve">Robustece lo anterior, la resolución dictada al recurso de revisión 03423/INFOEM/IP/RR/2018 y sus acumulados, donde el Sujeto Obligado fue el Instituto de Seguridad Social de los Trabajadores del Estado </w:t>
      </w:r>
      <w:r w:rsidR="003C5D71">
        <w:rPr>
          <w:rFonts w:ascii="Palatino Linotype" w:eastAsia="Calibri" w:hAnsi="Palatino Linotype"/>
          <w:lang w:eastAsia="es-ES"/>
        </w:rPr>
        <w:t xml:space="preserve">de México </w:t>
      </w:r>
      <w:r>
        <w:rPr>
          <w:rFonts w:ascii="Palatino Linotype" w:eastAsia="Calibri" w:hAnsi="Palatino Linotype"/>
          <w:lang w:eastAsia="es-ES"/>
        </w:rPr>
        <w:t>y Municipios</w:t>
      </w:r>
      <w:r w:rsidR="003C5D71">
        <w:rPr>
          <w:rFonts w:ascii="Palatino Linotype" w:eastAsia="Calibri" w:hAnsi="Palatino Linotype"/>
          <w:lang w:eastAsia="es-ES"/>
        </w:rPr>
        <w:t xml:space="preserve"> (</w:t>
      </w:r>
      <w:proofErr w:type="spellStart"/>
      <w:r w:rsidR="003C5D71">
        <w:rPr>
          <w:rFonts w:ascii="Palatino Linotype" w:eastAsia="Calibri" w:hAnsi="Palatino Linotype"/>
          <w:lang w:eastAsia="es-ES"/>
        </w:rPr>
        <w:t>ISSEMyM</w:t>
      </w:r>
      <w:proofErr w:type="spellEnd"/>
      <w:r w:rsidR="003C5D71">
        <w:rPr>
          <w:rFonts w:ascii="Palatino Linotype" w:eastAsia="Calibri" w:hAnsi="Palatino Linotype"/>
          <w:lang w:eastAsia="es-ES"/>
        </w:rPr>
        <w:t>)</w:t>
      </w:r>
      <w:r>
        <w:rPr>
          <w:rFonts w:ascii="Palatino Linotype" w:eastAsia="Calibri" w:hAnsi="Palatino Linotype"/>
          <w:lang w:eastAsia="es-ES"/>
        </w:rPr>
        <w:t>, en donde</w:t>
      </w:r>
      <w:r w:rsidR="003C5D71">
        <w:rPr>
          <w:rFonts w:ascii="Palatino Linotype" w:eastAsia="Calibri" w:hAnsi="Palatino Linotype"/>
          <w:lang w:eastAsia="es-ES"/>
        </w:rPr>
        <w:t xml:space="preserve"> sustancialmente </w:t>
      </w:r>
      <w:r>
        <w:rPr>
          <w:rFonts w:ascii="Palatino Linotype" w:eastAsia="Calibri" w:hAnsi="Palatino Linotype"/>
          <w:lang w:eastAsia="es-ES"/>
        </w:rPr>
        <w:t xml:space="preserve">se solicitaron los convenios que diversas instituciones </w:t>
      </w:r>
      <w:r w:rsidR="003C5D71">
        <w:rPr>
          <w:rFonts w:ascii="Palatino Linotype" w:eastAsia="Calibri" w:hAnsi="Palatino Linotype"/>
          <w:lang w:eastAsia="es-ES"/>
        </w:rPr>
        <w:t xml:space="preserve">han suscrito con este, a fin de conocer los adeudos que tienen con el Instituto respecto del pago por concepto de contribuciones de aportaciones y cuotas de seguridad social, retenciones institucionales y de terceros, misma que en cumplimiento se entregó un convenio celebrado entre el Cuerpo de Guardias de Seguridad Industrial, Bancaria y Comercial del Valle de Cuautitlán Texcoco y el </w:t>
      </w:r>
      <w:proofErr w:type="spellStart"/>
      <w:r w:rsidR="003C5D71">
        <w:rPr>
          <w:rFonts w:ascii="Palatino Linotype" w:eastAsia="Calibri" w:hAnsi="Palatino Linotype"/>
          <w:lang w:eastAsia="es-ES"/>
        </w:rPr>
        <w:t>ISSEMyM</w:t>
      </w:r>
      <w:proofErr w:type="spellEnd"/>
      <w:r w:rsidR="003C5D71">
        <w:rPr>
          <w:rFonts w:ascii="Palatino Linotype" w:eastAsia="Calibri" w:hAnsi="Palatino Linotype"/>
          <w:lang w:eastAsia="es-ES"/>
        </w:rPr>
        <w:t>.</w:t>
      </w:r>
    </w:p>
    <w:p w:rsidR="000938C9" w:rsidRPr="009B0BD7" w:rsidRDefault="000938C9" w:rsidP="000938C9">
      <w:pPr>
        <w:pStyle w:val="Prrafodelista"/>
        <w:rPr>
          <w:rFonts w:ascii="Palatino Linotype" w:eastAsia="Calibri" w:hAnsi="Palatino Linotype"/>
          <w:sz w:val="32"/>
          <w:lang w:eastAsia="es-ES"/>
        </w:rPr>
      </w:pPr>
    </w:p>
    <w:p w:rsidR="000938C9" w:rsidRDefault="003C5D71"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Es</w:t>
      </w:r>
      <w:r w:rsidR="00353185">
        <w:rPr>
          <w:rFonts w:ascii="Palatino Linotype" w:eastAsia="Calibri" w:hAnsi="Palatino Linotype"/>
          <w:lang w:eastAsia="es-ES"/>
        </w:rPr>
        <w:t xml:space="preserve"> </w:t>
      </w:r>
      <w:r>
        <w:rPr>
          <w:rFonts w:ascii="Palatino Linotype" w:eastAsia="Calibri" w:hAnsi="Palatino Linotype"/>
          <w:lang w:eastAsia="es-ES"/>
        </w:rPr>
        <w:t xml:space="preserve">necesario enfatizar que en dicho convenio se reconocen los adeudos, regularización y forma de pago por conceptos de dichas aportaciones y cuotas de seguridad social, las retenciones institucionales y de terceros, así como los aprovechamientos y accesorios que deriven de las mismas; en otras palabras, que los denominados Cuerpos de Seguridad Auxiliares del Estado de México o Cuerpo de Guardias de Seguridad Industrial, Bancaria y Comercial del Valle Cuautitlán Texcoco, usualmente conocidos por su siglas CUSAEM, </w:t>
      </w:r>
      <w:r w:rsidR="00C37835">
        <w:rPr>
          <w:rFonts w:ascii="Palatino Linotype" w:eastAsia="Calibri" w:hAnsi="Palatino Linotype"/>
          <w:lang w:eastAsia="es-ES"/>
        </w:rPr>
        <w:t xml:space="preserve">son deudores del </w:t>
      </w:r>
      <w:proofErr w:type="spellStart"/>
      <w:r w:rsidR="00C37835">
        <w:rPr>
          <w:rFonts w:ascii="Palatino Linotype" w:eastAsia="Calibri" w:hAnsi="Palatino Linotype"/>
          <w:lang w:eastAsia="es-ES"/>
        </w:rPr>
        <w:lastRenderedPageBreak/>
        <w:t>ISSEMyM</w:t>
      </w:r>
      <w:proofErr w:type="spellEnd"/>
      <w:r w:rsidR="00C37835">
        <w:rPr>
          <w:rFonts w:ascii="Palatino Linotype" w:eastAsia="Calibri" w:hAnsi="Palatino Linotype"/>
          <w:lang w:eastAsia="es-ES"/>
        </w:rPr>
        <w:t xml:space="preserve">, Instituto de Seguridad </w:t>
      </w:r>
      <w:r w:rsidR="00124627">
        <w:rPr>
          <w:rFonts w:ascii="Palatino Linotype" w:eastAsia="Calibri" w:hAnsi="Palatino Linotype"/>
          <w:lang w:eastAsia="es-ES"/>
        </w:rPr>
        <w:t xml:space="preserve">Social </w:t>
      </w:r>
      <w:r w:rsidR="00C37835">
        <w:rPr>
          <w:rFonts w:ascii="Palatino Linotype" w:eastAsia="Calibri" w:hAnsi="Palatino Linotype"/>
          <w:lang w:eastAsia="es-ES"/>
        </w:rPr>
        <w:t>al cual únicamente tienen acceso los servidores públicos.</w:t>
      </w:r>
    </w:p>
    <w:p w:rsidR="00C37835" w:rsidRPr="00C43352" w:rsidRDefault="00C37835" w:rsidP="00C37835">
      <w:pPr>
        <w:pStyle w:val="Prrafodelista"/>
        <w:rPr>
          <w:rFonts w:ascii="Palatino Linotype" w:eastAsia="Calibri" w:hAnsi="Palatino Linotype"/>
          <w:sz w:val="28"/>
          <w:szCs w:val="32"/>
          <w:lang w:eastAsia="es-ES"/>
        </w:rPr>
      </w:pPr>
    </w:p>
    <w:p w:rsidR="00C37835" w:rsidRDefault="00C37835"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Antes de proseguir con el análisis, si bien la connotación bajo la cual se resolvió el recurso de revisión en cuestión, fue respecto a los Cuerpos de Seguridad Auxiliares del Estado de México, es necesario enfatizar que el nombre, denominación o razón social, anteriormente no se había precisado, de conformidad con diversas notas periodísticas</w:t>
      </w:r>
      <w:r w:rsidR="001010D2">
        <w:rPr>
          <w:rStyle w:val="Refdenotaalpie"/>
          <w:rFonts w:ascii="Palatino Linotype" w:eastAsia="Calibri" w:hAnsi="Palatino Linotype"/>
          <w:lang w:eastAsia="es-ES"/>
        </w:rPr>
        <w:footnoteReference w:id="5"/>
      </w:r>
      <w:r>
        <w:rPr>
          <w:rFonts w:ascii="Palatino Linotype" w:eastAsia="Calibri" w:hAnsi="Palatino Linotype"/>
          <w:lang w:eastAsia="es-ES"/>
        </w:rPr>
        <w:t xml:space="preserve">; sin embargo, se presume que la denominación correcta es la establecida mediante dicho instrumento </w:t>
      </w:r>
      <w:r w:rsidR="001010D2">
        <w:rPr>
          <w:rFonts w:ascii="Palatino Linotype" w:eastAsia="Calibri" w:hAnsi="Palatino Linotype"/>
          <w:lang w:eastAsia="es-ES"/>
        </w:rPr>
        <w:t>jurídico.</w:t>
      </w:r>
    </w:p>
    <w:p w:rsidR="000938C9" w:rsidRPr="00C43352" w:rsidRDefault="000938C9" w:rsidP="001010D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p>
    <w:p w:rsidR="001010D2" w:rsidRDefault="008C2281"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 xml:space="preserve">No debe pasar por inadvertido para los que conformamos el </w:t>
      </w:r>
      <w:r w:rsidR="00B603A2">
        <w:rPr>
          <w:rFonts w:ascii="Palatino Linotype" w:eastAsia="Calibri" w:hAnsi="Palatino Linotype"/>
          <w:lang w:eastAsia="es-ES"/>
        </w:rPr>
        <w:t>P</w:t>
      </w:r>
      <w:r>
        <w:rPr>
          <w:rFonts w:ascii="Palatino Linotype" w:eastAsia="Calibri" w:hAnsi="Palatino Linotype"/>
          <w:lang w:eastAsia="es-ES"/>
        </w:rPr>
        <w:t xml:space="preserve">leno de este Órgano Garante, los documentos aportados en cumplimiento de la resolución recaída al recurso de revisión 03423/INFOEM/IP/RR/2018 y sus acumulados, que constituyen elementos de prueba idóneas para establecer las atribuciones que tiene el </w:t>
      </w:r>
      <w:r w:rsidRPr="00124627">
        <w:rPr>
          <w:rFonts w:ascii="Palatino Linotype" w:eastAsia="Calibri" w:hAnsi="Palatino Linotype"/>
          <w:b/>
          <w:lang w:eastAsia="es-ES"/>
        </w:rPr>
        <w:t>SUJETO OBLIGADO</w:t>
      </w:r>
      <w:r>
        <w:rPr>
          <w:rFonts w:ascii="Palatino Linotype" w:eastAsia="Calibri" w:hAnsi="Palatino Linotype"/>
          <w:lang w:eastAsia="es-ES"/>
        </w:rPr>
        <w:t>, para generar, administrar y/o poseer la información que se requirió en este caso</w:t>
      </w:r>
      <w:r w:rsidR="00B603A2">
        <w:rPr>
          <w:rFonts w:ascii="Palatino Linotype" w:eastAsia="Calibri" w:hAnsi="Palatino Linotype"/>
          <w:lang w:eastAsia="es-ES"/>
        </w:rPr>
        <w:t>, además de ser evidencia de las irregularidades con las que el organismo auxiliar se maneja, al retener el impuesto a sus trabajadores y no reportarlos</w:t>
      </w:r>
      <w:r>
        <w:rPr>
          <w:rFonts w:ascii="Palatino Linotype" w:eastAsia="Calibri" w:hAnsi="Palatino Linotype"/>
          <w:lang w:eastAsia="es-ES"/>
        </w:rPr>
        <w:t>.</w:t>
      </w:r>
    </w:p>
    <w:p w:rsidR="001010D2" w:rsidRPr="00C43352" w:rsidRDefault="001010D2" w:rsidP="009D705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sz w:val="22"/>
          <w:szCs w:val="32"/>
          <w:lang w:eastAsia="es-ES"/>
        </w:rPr>
      </w:pPr>
    </w:p>
    <w:p w:rsidR="001010D2" w:rsidRDefault="008C2281" w:rsidP="008C2281">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lastRenderedPageBreak/>
        <w:t xml:space="preserve">Lo anterior, ya que en el convenio al cual se ha hecho referencia, en el apartado de </w:t>
      </w:r>
      <w:r w:rsidRPr="008C2281">
        <w:rPr>
          <w:rFonts w:ascii="Palatino Linotype" w:eastAsia="Calibri" w:hAnsi="Palatino Linotype"/>
          <w:lang w:eastAsia="es-ES"/>
        </w:rPr>
        <w:t xml:space="preserve">declaraciones </w:t>
      </w:r>
      <w:r>
        <w:rPr>
          <w:rFonts w:ascii="Palatino Linotype" w:eastAsia="Calibri" w:hAnsi="Palatino Linotype"/>
          <w:lang w:eastAsia="es-ES"/>
        </w:rPr>
        <w:t xml:space="preserve">se establece </w:t>
      </w:r>
      <w:r w:rsidR="00FB4BBB">
        <w:rPr>
          <w:rFonts w:ascii="Palatino Linotype" w:eastAsia="Calibri" w:hAnsi="Palatino Linotype"/>
          <w:lang w:eastAsia="es-ES"/>
        </w:rPr>
        <w:t xml:space="preserve">que </w:t>
      </w:r>
      <w:r>
        <w:rPr>
          <w:rFonts w:ascii="Palatino Linotype" w:eastAsia="Calibri" w:hAnsi="Palatino Linotype"/>
          <w:lang w:eastAsia="es-ES"/>
        </w:rPr>
        <w:t>el CUSAEM es una dependencia de la Secretaría de Seguridad del Estado de M</w:t>
      </w:r>
      <w:r w:rsidR="00FB4BBB">
        <w:rPr>
          <w:rFonts w:ascii="Palatino Linotype" w:eastAsia="Calibri" w:hAnsi="Palatino Linotype"/>
          <w:lang w:eastAsia="es-ES"/>
        </w:rPr>
        <w:t>éxico, que se encuentra regulado por sus disposiciones jurídicas, de las cuales se advierte el artículo 8 del Reglamento de los Cuerpos de Seguridad Pública del Estado de México, cuya literalidad es la siguiente:</w:t>
      </w:r>
    </w:p>
    <w:p w:rsidR="00C43352" w:rsidRPr="00C43352" w:rsidRDefault="00C43352" w:rsidP="00C4335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sz w:val="10"/>
          <w:lang w:eastAsia="es-ES"/>
        </w:rPr>
      </w:pPr>
    </w:p>
    <w:p w:rsidR="00B25A23" w:rsidRPr="00B25A23" w:rsidRDefault="00B25A23" w:rsidP="00B25A23">
      <w:pPr>
        <w:pStyle w:val="Prrafodelista"/>
        <w:rPr>
          <w:rFonts w:ascii="Palatino Linotype" w:eastAsia="Calibri" w:hAnsi="Palatino Linotype"/>
          <w:sz w:val="14"/>
          <w:lang w:eastAsia="es-ES"/>
        </w:rPr>
      </w:pPr>
    </w:p>
    <w:p w:rsidR="001010D2" w:rsidRDefault="00FB4BBB" w:rsidP="009B0BD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616"/>
        <w:jc w:val="both"/>
        <w:rPr>
          <w:rFonts w:ascii="Palatino Linotype" w:hAnsi="Palatino Linotype"/>
          <w:i/>
          <w:sz w:val="22"/>
        </w:rPr>
      </w:pPr>
      <w:r>
        <w:rPr>
          <w:rFonts w:ascii="Palatino Linotype" w:hAnsi="Palatino Linotype"/>
          <w:i/>
          <w:sz w:val="22"/>
        </w:rPr>
        <w:t>“</w:t>
      </w:r>
      <w:r w:rsidRPr="00FB4BBB">
        <w:rPr>
          <w:rFonts w:ascii="Palatino Linotype" w:hAnsi="Palatino Linotype"/>
          <w:i/>
          <w:sz w:val="22"/>
        </w:rPr>
        <w:t xml:space="preserve">Artículo 8.- La corporación de </w:t>
      </w:r>
      <w:r w:rsidRPr="00BB6B3F">
        <w:rPr>
          <w:rFonts w:ascii="Palatino Linotype" w:hAnsi="Palatino Linotype"/>
          <w:b/>
          <w:i/>
          <w:sz w:val="22"/>
        </w:rPr>
        <w:t>Guardias de Seguridad Industrial, Bancaria y Comercial y la de Vigilantes Auxiliares dependerán de la Dirección General de Seguridad Pública y Tránsito del Estado</w:t>
      </w:r>
      <w:r w:rsidRPr="00FB4BBB">
        <w:rPr>
          <w:rFonts w:ascii="Palatino Linotype" w:hAnsi="Palatino Linotype"/>
          <w:i/>
          <w:sz w:val="22"/>
        </w:rPr>
        <w:t>, al frente de dichas corporaciones se designará un jefe.</w:t>
      </w:r>
      <w:r>
        <w:rPr>
          <w:rFonts w:ascii="Palatino Linotype" w:hAnsi="Palatino Linotype"/>
          <w:i/>
          <w:sz w:val="22"/>
        </w:rPr>
        <w:t>”</w:t>
      </w:r>
    </w:p>
    <w:p w:rsidR="009B0BD7" w:rsidRPr="001B364B" w:rsidRDefault="009B0BD7" w:rsidP="009B0BD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616"/>
        <w:jc w:val="both"/>
        <w:rPr>
          <w:rFonts w:ascii="Palatino Linotype" w:eastAsia="Calibri" w:hAnsi="Palatino Linotype"/>
          <w:i/>
          <w:sz w:val="20"/>
          <w:lang w:eastAsia="es-ES"/>
        </w:rPr>
      </w:pPr>
    </w:p>
    <w:p w:rsidR="001B364B" w:rsidRPr="001B364B" w:rsidRDefault="00BB6B3F" w:rsidP="001B364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 xml:space="preserve">Precepto jurídico, del cual se colige que el CUSAEM es una corporación que depende </w:t>
      </w:r>
      <w:r w:rsidR="005858E8">
        <w:rPr>
          <w:rFonts w:ascii="Palatino Linotype" w:eastAsia="Calibri" w:hAnsi="Palatino Linotype"/>
          <w:lang w:eastAsia="es-ES"/>
        </w:rPr>
        <w:t>de la D</w:t>
      </w:r>
      <w:r>
        <w:rPr>
          <w:rFonts w:ascii="Palatino Linotype" w:eastAsia="Calibri" w:hAnsi="Palatino Linotype"/>
          <w:lang w:eastAsia="es-ES"/>
        </w:rPr>
        <w:t>irección General de Seguridad Pública y Tránsito del Estado; una de las D</w:t>
      </w:r>
      <w:r w:rsidRPr="00BB6B3F">
        <w:rPr>
          <w:rFonts w:ascii="Palatino Linotype" w:eastAsia="Calibri" w:hAnsi="Palatino Linotype"/>
          <w:lang w:eastAsia="es-ES"/>
        </w:rPr>
        <w:t xml:space="preserve">irecciones </w:t>
      </w:r>
      <w:r>
        <w:rPr>
          <w:rFonts w:ascii="Palatino Linotype" w:eastAsia="Calibri" w:hAnsi="Palatino Linotype"/>
          <w:lang w:eastAsia="es-ES"/>
        </w:rPr>
        <w:t>a cargo de</w:t>
      </w:r>
      <w:r w:rsidRPr="00BB6B3F">
        <w:rPr>
          <w:rFonts w:ascii="Palatino Linotype" w:eastAsia="Calibri" w:hAnsi="Palatino Linotype"/>
          <w:lang w:eastAsia="es-ES"/>
        </w:rPr>
        <w:t xml:space="preserve"> la Secretaría de Seguridad</w:t>
      </w:r>
      <w:r>
        <w:rPr>
          <w:rFonts w:ascii="Palatino Linotype" w:eastAsia="Calibri" w:hAnsi="Palatino Linotype"/>
          <w:lang w:eastAsia="es-ES"/>
        </w:rPr>
        <w:t xml:space="preserve">, según su organigrama, </w:t>
      </w:r>
      <w:r w:rsidRPr="00BB6B3F">
        <w:rPr>
          <w:rFonts w:ascii="Palatino Linotype" w:eastAsia="Calibri" w:hAnsi="Palatino Linotype"/>
          <w:lang w:eastAsia="es-ES"/>
        </w:rPr>
        <w:t xml:space="preserve"> como </w:t>
      </w:r>
      <w:r>
        <w:rPr>
          <w:rFonts w:ascii="Palatino Linotype" w:eastAsia="Calibri" w:hAnsi="Palatino Linotype"/>
          <w:lang w:eastAsia="es-ES"/>
        </w:rPr>
        <w:t>a continuación se muestra:</w:t>
      </w:r>
      <w:r w:rsidR="001B364B" w:rsidRPr="001B364B">
        <w:rPr>
          <w:rFonts w:ascii="Palatino Linotype" w:eastAsia="Calibri" w:hAnsi="Palatino Linotype"/>
          <w:noProof/>
          <w:lang w:eastAsia="es-MX"/>
        </w:rPr>
        <w:t xml:space="preserve"> </w:t>
      </w:r>
    </w:p>
    <w:p w:rsidR="001B364B" w:rsidRPr="001B364B" w:rsidRDefault="001B364B" w:rsidP="001B364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eastAsia="Calibri" w:hAnsi="Palatino Linotype"/>
          <w:lang w:eastAsia="es-ES"/>
        </w:rPr>
      </w:pPr>
      <w:r>
        <w:rPr>
          <w:rFonts w:ascii="Palatino Linotype" w:eastAsia="Calibri" w:hAnsi="Palatino Linotype"/>
          <w:noProof/>
          <w:lang w:eastAsia="es-MX"/>
        </w:rPr>
        <w:drawing>
          <wp:inline distT="0" distB="0" distL="0" distR="0" wp14:anchorId="07870DE8" wp14:editId="632D27B0">
            <wp:extent cx="5543550" cy="2305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3400"/>
                    <a:stretch/>
                  </pic:blipFill>
                  <pic:spPr bwMode="auto">
                    <a:xfrm>
                      <a:off x="0" y="0"/>
                      <a:ext cx="5543550" cy="2305050"/>
                    </a:xfrm>
                    <a:prstGeom prst="rect">
                      <a:avLst/>
                    </a:prstGeom>
                    <a:noFill/>
                    <a:ln>
                      <a:noFill/>
                    </a:ln>
                    <a:extLst>
                      <a:ext uri="{53640926-AAD7-44D8-BBD7-CCE9431645EC}">
                        <a14:shadowObscured xmlns:a14="http://schemas.microsoft.com/office/drawing/2010/main"/>
                      </a:ext>
                    </a:extLst>
                  </pic:spPr>
                </pic:pic>
              </a:graphicData>
            </a:graphic>
          </wp:inline>
        </w:drawing>
      </w:r>
      <w:r>
        <w:rPr>
          <w:rStyle w:val="Refdenotaalpie"/>
          <w:rFonts w:ascii="Palatino Linotype" w:eastAsia="Calibri" w:hAnsi="Palatino Linotype"/>
          <w:lang w:eastAsia="es-ES"/>
        </w:rPr>
        <w:footnoteReference w:id="6"/>
      </w:r>
    </w:p>
    <w:p w:rsidR="001010D2" w:rsidRDefault="005858E8"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lastRenderedPageBreak/>
        <w:t xml:space="preserve">Por tanto resulta </w:t>
      </w:r>
      <w:r w:rsidR="007F344B">
        <w:rPr>
          <w:rFonts w:ascii="Palatino Linotype" w:eastAsia="Calibri" w:hAnsi="Palatino Linotype"/>
          <w:lang w:eastAsia="es-ES"/>
        </w:rPr>
        <w:t>innegable</w:t>
      </w:r>
      <w:r>
        <w:rPr>
          <w:rFonts w:ascii="Palatino Linotype" w:eastAsia="Calibri" w:hAnsi="Palatino Linotype"/>
          <w:lang w:eastAsia="es-ES"/>
        </w:rPr>
        <w:t xml:space="preserve"> la relación jurídica que existe entre el CUSAEM y el </w:t>
      </w:r>
      <w:r w:rsidRPr="007F344B">
        <w:rPr>
          <w:rFonts w:ascii="Palatino Linotype" w:eastAsia="Calibri" w:hAnsi="Palatino Linotype"/>
          <w:b/>
          <w:lang w:eastAsia="es-ES"/>
        </w:rPr>
        <w:t>SUJETO OBLIGADO</w:t>
      </w:r>
      <w:r>
        <w:rPr>
          <w:rFonts w:ascii="Palatino Linotype" w:eastAsia="Calibri" w:hAnsi="Palatino Linotype"/>
          <w:lang w:eastAsia="es-ES"/>
        </w:rPr>
        <w:t>, máxime que adjunto al convenio se aprecia anexo del nombramiento emitido por la actual Secretaria de Seguridad del Estado de México a nombre del que representa al Jefe de los Cuerpos de Guardias de Se</w:t>
      </w:r>
      <w:r w:rsidR="00B603A2">
        <w:rPr>
          <w:rFonts w:ascii="Palatino Linotype" w:eastAsia="Calibri" w:hAnsi="Palatino Linotype"/>
          <w:lang w:eastAsia="es-ES"/>
        </w:rPr>
        <w:t>guridad Industrial, Bancaria y C</w:t>
      </w:r>
      <w:r>
        <w:rPr>
          <w:rFonts w:ascii="Palatino Linotype" w:eastAsia="Calibri" w:hAnsi="Palatino Linotype"/>
          <w:lang w:eastAsia="es-ES"/>
        </w:rPr>
        <w:t xml:space="preserve">omercial del Valle Cuautitlán-Texcoco; del Valle de Toluca y Vigilancia Auxiliar y Urbana del Estado de México (CUSAEM), </w:t>
      </w:r>
      <w:r w:rsidR="007F344B">
        <w:rPr>
          <w:rFonts w:ascii="Palatino Linotype" w:eastAsia="Calibri" w:hAnsi="Palatino Linotype"/>
          <w:lang w:eastAsia="es-ES"/>
        </w:rPr>
        <w:t xml:space="preserve">otorgado ante fedatario público; jefe </w:t>
      </w:r>
      <w:r>
        <w:rPr>
          <w:rFonts w:ascii="Palatino Linotype" w:eastAsia="Calibri" w:hAnsi="Palatino Linotype"/>
          <w:lang w:eastAsia="es-ES"/>
        </w:rPr>
        <w:t xml:space="preserve">encargado de suscribir el convenio  </w:t>
      </w:r>
      <w:r w:rsidR="007F344B">
        <w:rPr>
          <w:rFonts w:ascii="Palatino Linotype" w:eastAsia="Calibri" w:hAnsi="Palatino Linotype"/>
          <w:lang w:eastAsia="es-ES"/>
        </w:rPr>
        <w:t xml:space="preserve">por los adeudos que se generaron con el </w:t>
      </w:r>
      <w:proofErr w:type="spellStart"/>
      <w:r w:rsidR="007F344B">
        <w:rPr>
          <w:rFonts w:ascii="Palatino Linotype" w:eastAsia="Calibri" w:hAnsi="Palatino Linotype"/>
          <w:lang w:eastAsia="es-ES"/>
        </w:rPr>
        <w:t>ISSEMyM</w:t>
      </w:r>
      <w:proofErr w:type="spellEnd"/>
      <w:r w:rsidR="007F344B">
        <w:rPr>
          <w:rFonts w:ascii="Palatino Linotype" w:eastAsia="Calibri" w:hAnsi="Palatino Linotype"/>
          <w:lang w:eastAsia="es-ES"/>
        </w:rPr>
        <w:t xml:space="preserve">, comprometiéndose en ese acuerdo de voluntades a regularizarse en el pago total de las contribuciones de aportaciones y cuotas del régimen de seguridad social </w:t>
      </w:r>
      <w:r w:rsidR="00B603A2">
        <w:rPr>
          <w:rFonts w:ascii="Palatino Linotype" w:eastAsia="Calibri" w:hAnsi="Palatino Linotype"/>
          <w:lang w:eastAsia="es-ES"/>
        </w:rPr>
        <w:t xml:space="preserve">que debe de las retenciones realizadas a </w:t>
      </w:r>
      <w:r w:rsidR="007F344B">
        <w:rPr>
          <w:rFonts w:ascii="Palatino Linotype" w:eastAsia="Calibri" w:hAnsi="Palatino Linotype"/>
          <w:lang w:eastAsia="es-ES"/>
        </w:rPr>
        <w:t>sus servidores públicos.</w:t>
      </w:r>
    </w:p>
    <w:p w:rsidR="001010D2" w:rsidRPr="009B0BD7" w:rsidRDefault="001010D2" w:rsidP="007F344B">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p>
    <w:p w:rsidR="00196BA2" w:rsidRDefault="007F344B" w:rsidP="00196BA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De las manifestaciones vertidas se desprende que</w:t>
      </w:r>
      <w:r w:rsidR="00A73E13">
        <w:rPr>
          <w:rFonts w:ascii="Palatino Linotype" w:eastAsia="Calibri" w:hAnsi="Palatino Linotype"/>
          <w:lang w:eastAsia="es-ES"/>
        </w:rPr>
        <w:t xml:space="preserve">, </w:t>
      </w:r>
      <w:r>
        <w:rPr>
          <w:rFonts w:ascii="Palatino Linotype" w:eastAsia="Calibri" w:hAnsi="Palatino Linotype"/>
          <w:lang w:eastAsia="es-ES"/>
        </w:rPr>
        <w:t xml:space="preserve">el </w:t>
      </w:r>
      <w:r w:rsidR="00A73E13">
        <w:rPr>
          <w:rFonts w:ascii="Palatino Linotype" w:eastAsia="Calibri" w:hAnsi="Palatino Linotype"/>
          <w:lang w:eastAsia="es-ES"/>
        </w:rPr>
        <w:t>CUSAEM</w:t>
      </w:r>
      <w:r>
        <w:rPr>
          <w:rFonts w:ascii="Palatino Linotype" w:eastAsia="Calibri" w:hAnsi="Palatino Linotype"/>
          <w:lang w:eastAsia="es-ES"/>
        </w:rPr>
        <w:t xml:space="preserve"> </w:t>
      </w:r>
      <w:r w:rsidR="00A73E13">
        <w:rPr>
          <w:rFonts w:ascii="Palatino Linotype" w:eastAsia="Calibri" w:hAnsi="Palatino Linotype"/>
          <w:lang w:eastAsia="es-ES"/>
        </w:rPr>
        <w:t>y el personal que lo integra pertenecen</w:t>
      </w:r>
      <w:r>
        <w:rPr>
          <w:rFonts w:ascii="Palatino Linotype" w:eastAsia="Calibri" w:hAnsi="Palatino Linotype"/>
          <w:lang w:eastAsia="es-ES"/>
        </w:rPr>
        <w:t xml:space="preserve"> a la Secretaría de Seguridad </w:t>
      </w:r>
      <w:r w:rsidR="00A73E13">
        <w:rPr>
          <w:rFonts w:ascii="Palatino Linotype" w:eastAsia="Calibri" w:hAnsi="Palatino Linotype"/>
          <w:lang w:eastAsia="es-ES"/>
        </w:rPr>
        <w:t>del Estado de México</w:t>
      </w:r>
      <w:r>
        <w:rPr>
          <w:rFonts w:ascii="Palatino Linotype" w:eastAsia="Calibri" w:hAnsi="Palatino Linotype"/>
          <w:lang w:eastAsia="es-ES"/>
        </w:rPr>
        <w:t xml:space="preserve"> y</w:t>
      </w:r>
      <w:r w:rsidR="00A73E13">
        <w:rPr>
          <w:rFonts w:ascii="Palatino Linotype" w:eastAsia="Calibri" w:hAnsi="Palatino Linotype"/>
          <w:lang w:eastAsia="es-ES"/>
        </w:rPr>
        <w:t xml:space="preserve"> estos</w:t>
      </w:r>
      <w:r>
        <w:rPr>
          <w:rFonts w:ascii="Palatino Linotype" w:eastAsia="Calibri" w:hAnsi="Palatino Linotype"/>
          <w:lang w:eastAsia="es-ES"/>
        </w:rPr>
        <w:t xml:space="preserve"> al cotizar en el </w:t>
      </w:r>
      <w:proofErr w:type="spellStart"/>
      <w:r>
        <w:rPr>
          <w:rFonts w:ascii="Palatino Linotype" w:eastAsia="Calibri" w:hAnsi="Palatino Linotype"/>
          <w:lang w:eastAsia="es-ES"/>
        </w:rPr>
        <w:t>ISSEMy</w:t>
      </w:r>
      <w:r w:rsidR="00A73E13">
        <w:rPr>
          <w:rFonts w:ascii="Palatino Linotype" w:eastAsia="Calibri" w:hAnsi="Palatino Linotype"/>
          <w:lang w:eastAsia="es-ES"/>
        </w:rPr>
        <w:t>M</w:t>
      </w:r>
      <w:proofErr w:type="spellEnd"/>
      <w:r>
        <w:rPr>
          <w:rFonts w:ascii="Palatino Linotype" w:eastAsia="Calibri" w:hAnsi="Palatino Linotype"/>
          <w:lang w:eastAsia="es-ES"/>
        </w:rPr>
        <w:t xml:space="preserve">, </w:t>
      </w:r>
      <w:r w:rsidR="00A73E13">
        <w:rPr>
          <w:rFonts w:ascii="Palatino Linotype" w:eastAsia="Calibri" w:hAnsi="Palatino Linotype"/>
          <w:lang w:eastAsia="es-ES"/>
        </w:rPr>
        <w:t>se</w:t>
      </w:r>
      <w:r w:rsidR="00124627">
        <w:rPr>
          <w:rFonts w:ascii="Palatino Linotype" w:eastAsia="Calibri" w:hAnsi="Palatino Linotype"/>
          <w:lang w:eastAsia="es-ES"/>
        </w:rPr>
        <w:t xml:space="preserve"> estaría en una aparente presencia de</w:t>
      </w:r>
      <w:r w:rsidR="00A73E13">
        <w:rPr>
          <w:rFonts w:ascii="Palatino Linotype" w:eastAsia="Calibri" w:hAnsi="Palatino Linotype"/>
          <w:lang w:eastAsia="es-ES"/>
        </w:rPr>
        <w:t xml:space="preserve"> </w:t>
      </w:r>
      <w:r w:rsidR="009D7059">
        <w:rPr>
          <w:rFonts w:ascii="Palatino Linotype" w:eastAsia="Calibri" w:hAnsi="Palatino Linotype"/>
          <w:lang w:eastAsia="es-ES"/>
        </w:rPr>
        <w:t>prestadores del servicio de seguridad privada considerados por dicho ente como</w:t>
      </w:r>
      <w:r>
        <w:rPr>
          <w:rFonts w:ascii="Palatino Linotype" w:eastAsia="Calibri" w:hAnsi="Palatino Linotype"/>
          <w:lang w:eastAsia="es-ES"/>
        </w:rPr>
        <w:t xml:space="preserve"> servidores </w:t>
      </w:r>
      <w:r w:rsidR="00A73E13">
        <w:rPr>
          <w:rFonts w:ascii="Palatino Linotype" w:eastAsia="Calibri" w:hAnsi="Palatino Linotype"/>
          <w:lang w:eastAsia="es-ES"/>
        </w:rPr>
        <w:t>públicos</w:t>
      </w:r>
      <w:r w:rsidR="009D7059">
        <w:rPr>
          <w:rFonts w:ascii="Palatino Linotype" w:eastAsia="Calibri" w:hAnsi="Palatino Linotype"/>
          <w:lang w:eastAsia="es-ES"/>
        </w:rPr>
        <w:t xml:space="preserve">, como </w:t>
      </w:r>
      <w:r w:rsidR="00A73E13">
        <w:rPr>
          <w:rFonts w:ascii="Palatino Linotype" w:eastAsia="Calibri" w:hAnsi="Palatino Linotype"/>
          <w:lang w:eastAsia="es-ES"/>
        </w:rPr>
        <w:t xml:space="preserve">este Cuerpo lo ha manifestado en el convenio, aunado a que el Instituto de Seguridad Social sólo proporciona servicios </w:t>
      </w:r>
      <w:r w:rsidR="00196BA2">
        <w:rPr>
          <w:rFonts w:ascii="Palatino Linotype" w:eastAsia="Calibri" w:hAnsi="Palatino Linotype"/>
          <w:lang w:eastAsia="es-ES"/>
        </w:rPr>
        <w:t>a trabajadores del Estado</w:t>
      </w:r>
      <w:r w:rsidR="00124627">
        <w:rPr>
          <w:rFonts w:ascii="Palatino Linotype" w:eastAsia="Calibri" w:hAnsi="Palatino Linotype"/>
          <w:lang w:eastAsia="es-ES"/>
        </w:rPr>
        <w:t>; en consecuencia</w:t>
      </w:r>
      <w:r w:rsidR="00B603A2">
        <w:rPr>
          <w:rFonts w:ascii="Palatino Linotype" w:eastAsia="Calibri" w:hAnsi="Palatino Linotype"/>
          <w:lang w:eastAsia="es-ES"/>
        </w:rPr>
        <w:t>,</w:t>
      </w:r>
      <w:r w:rsidR="00124627">
        <w:rPr>
          <w:rFonts w:ascii="Palatino Linotype" w:eastAsia="Calibri" w:hAnsi="Palatino Linotype"/>
          <w:lang w:eastAsia="es-ES"/>
        </w:rPr>
        <w:t xml:space="preserve"> se infiere que</w:t>
      </w:r>
      <w:r w:rsidR="00196BA2">
        <w:rPr>
          <w:rFonts w:ascii="Palatino Linotype" w:eastAsia="Calibri" w:hAnsi="Palatino Linotype"/>
          <w:lang w:eastAsia="es-ES"/>
        </w:rPr>
        <w:t xml:space="preserve"> c</w:t>
      </w:r>
      <w:r w:rsidR="00196BA2" w:rsidRPr="00196BA2">
        <w:rPr>
          <w:rFonts w:ascii="Palatino Linotype" w:eastAsia="Calibri" w:hAnsi="Palatino Linotype"/>
          <w:lang w:eastAsia="es-ES"/>
        </w:rPr>
        <w:t xml:space="preserve">ontrario a lo que ha manifestado </w:t>
      </w:r>
      <w:r w:rsidR="00196BA2">
        <w:rPr>
          <w:rFonts w:ascii="Palatino Linotype" w:eastAsia="Calibri" w:hAnsi="Palatino Linotype"/>
          <w:lang w:eastAsia="es-ES"/>
        </w:rPr>
        <w:t xml:space="preserve">el </w:t>
      </w:r>
      <w:r w:rsidR="00196BA2" w:rsidRPr="00196BA2">
        <w:rPr>
          <w:rFonts w:ascii="Palatino Linotype" w:eastAsia="Calibri" w:hAnsi="Palatino Linotype"/>
          <w:b/>
          <w:lang w:eastAsia="es-ES"/>
        </w:rPr>
        <w:t>SUJETO OBLIGADO</w:t>
      </w:r>
      <w:r w:rsidR="00124627">
        <w:rPr>
          <w:rFonts w:ascii="Palatino Linotype" w:eastAsia="Calibri" w:hAnsi="Palatino Linotype"/>
          <w:b/>
          <w:lang w:eastAsia="es-ES"/>
        </w:rPr>
        <w:t xml:space="preserve"> </w:t>
      </w:r>
      <w:r w:rsidR="00124627" w:rsidRPr="00124627">
        <w:rPr>
          <w:rFonts w:ascii="Palatino Linotype" w:eastAsia="Calibri" w:hAnsi="Palatino Linotype"/>
          <w:lang w:eastAsia="es-ES"/>
        </w:rPr>
        <w:t>debe contar con la información</w:t>
      </w:r>
      <w:r w:rsidR="00B603A2">
        <w:rPr>
          <w:rFonts w:ascii="Palatino Linotype" w:eastAsia="Calibri" w:hAnsi="Palatino Linotype"/>
          <w:lang w:eastAsia="es-ES"/>
        </w:rPr>
        <w:t xml:space="preserve"> de este tipo de personal</w:t>
      </w:r>
      <w:r w:rsidR="00196BA2" w:rsidRPr="00124627">
        <w:rPr>
          <w:rFonts w:ascii="Palatino Linotype" w:eastAsia="Calibri" w:hAnsi="Palatino Linotype"/>
          <w:lang w:eastAsia="es-ES"/>
        </w:rPr>
        <w:t>.</w:t>
      </w:r>
    </w:p>
    <w:p w:rsidR="00196BA2" w:rsidRPr="009B0BD7" w:rsidRDefault="00196BA2" w:rsidP="00196BA2">
      <w:pPr>
        <w:pStyle w:val="Prrafodelista"/>
        <w:rPr>
          <w:rFonts w:ascii="Palatino Linotype" w:eastAsia="Calibri" w:hAnsi="Palatino Linotype"/>
          <w:sz w:val="32"/>
          <w:lang w:eastAsia="es-ES"/>
        </w:rPr>
      </w:pPr>
    </w:p>
    <w:p w:rsidR="009D7059" w:rsidRDefault="00196BA2" w:rsidP="00196BA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lastRenderedPageBreak/>
        <w:t xml:space="preserve">Además, independientemente de que se traten de servidores públicos o prestadores del servicio de seguridad privada, </w:t>
      </w:r>
      <w:r w:rsidR="00662E56" w:rsidRPr="00196BA2">
        <w:rPr>
          <w:rFonts w:ascii="Palatino Linotype" w:eastAsia="Calibri" w:hAnsi="Palatino Linotype"/>
          <w:lang w:eastAsia="es-ES"/>
        </w:rPr>
        <w:t>la Secretar</w:t>
      </w:r>
      <w:r w:rsidR="00AD3E2D">
        <w:rPr>
          <w:rFonts w:ascii="Palatino Linotype" w:eastAsia="Calibri" w:hAnsi="Palatino Linotype"/>
          <w:lang w:eastAsia="es-ES"/>
        </w:rPr>
        <w:t xml:space="preserve">ía de Seguridad </w:t>
      </w:r>
      <w:r w:rsidR="00662E56" w:rsidRPr="00196BA2">
        <w:rPr>
          <w:rFonts w:ascii="Palatino Linotype" w:eastAsia="Calibri" w:hAnsi="Palatino Linotype"/>
          <w:lang w:eastAsia="es-ES"/>
        </w:rPr>
        <w:t>al regi</w:t>
      </w:r>
      <w:r w:rsidR="00AD3E2D">
        <w:rPr>
          <w:rFonts w:ascii="Palatino Linotype" w:eastAsia="Calibri" w:hAnsi="Palatino Linotype"/>
          <w:lang w:eastAsia="es-ES"/>
        </w:rPr>
        <w:t>rse</w:t>
      </w:r>
      <w:r w:rsidR="00662E56" w:rsidRPr="00196BA2">
        <w:rPr>
          <w:rFonts w:ascii="Palatino Linotype" w:eastAsia="Calibri" w:hAnsi="Palatino Linotype"/>
          <w:lang w:eastAsia="es-ES"/>
        </w:rPr>
        <w:t xml:space="preserve"> por las disposiciones normativas ya citadas, </w:t>
      </w:r>
      <w:r w:rsidR="00AD3E2D">
        <w:rPr>
          <w:rFonts w:ascii="Palatino Linotype" w:eastAsia="Calibri" w:hAnsi="Palatino Linotype"/>
          <w:lang w:eastAsia="es-ES"/>
        </w:rPr>
        <w:t xml:space="preserve">tiene las facultades, competencias y funciones para </w:t>
      </w:r>
      <w:r w:rsidR="00662E56" w:rsidRPr="00196BA2">
        <w:rPr>
          <w:rFonts w:ascii="Palatino Linotype" w:eastAsia="Calibri" w:hAnsi="Palatino Linotype"/>
          <w:lang w:eastAsia="es-ES"/>
        </w:rPr>
        <w:t>llevar el registro, seguimiento y control de</w:t>
      </w:r>
      <w:r w:rsidR="00FA2FFF">
        <w:rPr>
          <w:rFonts w:ascii="Palatino Linotype" w:eastAsia="Calibri" w:hAnsi="Palatino Linotype"/>
          <w:lang w:eastAsia="es-ES"/>
        </w:rPr>
        <w:t xml:space="preserve"> dicho </w:t>
      </w:r>
      <w:r w:rsidR="00662E56" w:rsidRPr="00196BA2">
        <w:rPr>
          <w:rFonts w:ascii="Palatino Linotype" w:eastAsia="Calibri" w:hAnsi="Palatino Linotype"/>
          <w:lang w:eastAsia="es-ES"/>
        </w:rPr>
        <w:t>personal</w:t>
      </w:r>
      <w:r w:rsidR="00B25A23">
        <w:rPr>
          <w:rFonts w:ascii="Palatino Linotype" w:eastAsia="Calibri" w:hAnsi="Palatino Linotype"/>
          <w:lang w:eastAsia="es-ES"/>
        </w:rPr>
        <w:t>, además de autorizar la prestación del servicio de seguridad privada en el territorio del Estado de México.</w:t>
      </w:r>
    </w:p>
    <w:p w:rsidR="009D7059" w:rsidRPr="009B0BD7" w:rsidRDefault="009D7059" w:rsidP="009D7059">
      <w:pPr>
        <w:pStyle w:val="Prrafodelista"/>
        <w:rPr>
          <w:rFonts w:ascii="Palatino Linotype" w:eastAsia="Calibri" w:hAnsi="Palatino Linotype"/>
          <w:sz w:val="32"/>
          <w:lang w:eastAsia="es-ES"/>
        </w:rPr>
      </w:pPr>
    </w:p>
    <w:p w:rsidR="0029569F" w:rsidRDefault="00B603A2"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Ahora, p</w:t>
      </w:r>
      <w:r w:rsidR="0029569F">
        <w:rPr>
          <w:rFonts w:ascii="Palatino Linotype" w:eastAsia="Calibri" w:hAnsi="Palatino Linotype"/>
          <w:lang w:eastAsia="es-ES"/>
        </w:rPr>
        <w:t xml:space="preserve">or cuanto hace a los recursos públicos que reciben estos organismos auxiliares del Poder Ejecutivo del Estado, sirve agregar que con fundamento </w:t>
      </w:r>
      <w:r>
        <w:rPr>
          <w:rFonts w:ascii="Palatino Linotype" w:eastAsia="Calibri" w:hAnsi="Palatino Linotype"/>
          <w:lang w:eastAsia="es-ES"/>
        </w:rPr>
        <w:t xml:space="preserve">en </w:t>
      </w:r>
      <w:r w:rsidR="0029569F">
        <w:rPr>
          <w:rFonts w:ascii="Palatino Linotype" w:eastAsia="Calibri" w:hAnsi="Palatino Linotype"/>
          <w:lang w:eastAsia="es-ES"/>
        </w:rPr>
        <w:t xml:space="preserve">la Ley Orgánica de la Administración Pública del Estado de México, se prevé en su artículo 48 que el Estado podrá participar en la integración del capital social de estos organismos que se constituyen como empresas de participación estatal, con el objetivo de complementar los planes y programas de Gobierno </w:t>
      </w:r>
      <w:r>
        <w:rPr>
          <w:rFonts w:ascii="Palatino Linotype" w:eastAsia="Calibri" w:hAnsi="Palatino Linotype"/>
          <w:lang w:eastAsia="es-ES"/>
        </w:rPr>
        <w:t>para</w:t>
      </w:r>
      <w:r w:rsidR="0029569F">
        <w:rPr>
          <w:rFonts w:ascii="Palatino Linotype" w:eastAsia="Calibri" w:hAnsi="Palatino Linotype"/>
          <w:lang w:eastAsia="es-ES"/>
        </w:rPr>
        <w:t xml:space="preserve"> satisfacer las necesidades sociales existentes en la entidad, como bien puede ser en materia de seguridad pública.</w:t>
      </w:r>
      <w:r w:rsidR="00662E56" w:rsidRPr="009D7059">
        <w:rPr>
          <w:rFonts w:ascii="Palatino Linotype" w:eastAsia="Calibri" w:hAnsi="Palatino Linotype"/>
          <w:lang w:eastAsia="es-ES"/>
        </w:rPr>
        <w:t xml:space="preserve"> </w:t>
      </w:r>
    </w:p>
    <w:p w:rsidR="0029569F" w:rsidRPr="009B0BD7" w:rsidRDefault="0029569F" w:rsidP="0029569F">
      <w:pPr>
        <w:pStyle w:val="Prrafodelista"/>
        <w:rPr>
          <w:rFonts w:ascii="Palatino Linotype" w:eastAsia="Calibri" w:hAnsi="Palatino Linotype"/>
          <w:sz w:val="32"/>
          <w:lang w:eastAsia="es-ES"/>
        </w:rPr>
      </w:pPr>
    </w:p>
    <w:p w:rsidR="0029569F" w:rsidRDefault="00597EA9"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Como ya se ha manifestado, e</w:t>
      </w:r>
      <w:r w:rsidR="00B603A2">
        <w:rPr>
          <w:rFonts w:ascii="Palatino Linotype" w:eastAsia="Calibri" w:hAnsi="Palatino Linotype"/>
          <w:lang w:eastAsia="es-ES"/>
        </w:rPr>
        <w:t>l verdadero problema</w:t>
      </w:r>
      <w:r w:rsidR="0029569F">
        <w:rPr>
          <w:rFonts w:ascii="Palatino Linotype" w:eastAsia="Calibri" w:hAnsi="Palatino Linotype"/>
          <w:lang w:eastAsia="es-ES"/>
        </w:rPr>
        <w:t xml:space="preserve"> está</w:t>
      </w:r>
      <w:r>
        <w:rPr>
          <w:rFonts w:ascii="Palatino Linotype" w:eastAsia="Calibri" w:hAnsi="Palatino Linotype"/>
          <w:lang w:eastAsia="es-ES"/>
        </w:rPr>
        <w:t xml:space="preserve"> en </w:t>
      </w:r>
      <w:r w:rsidR="0029569F">
        <w:rPr>
          <w:rFonts w:ascii="Palatino Linotype" w:eastAsia="Calibri" w:hAnsi="Palatino Linotype"/>
          <w:lang w:eastAsia="es-ES"/>
        </w:rPr>
        <w:t>que</w:t>
      </w:r>
      <w:r w:rsidR="00B603A2">
        <w:rPr>
          <w:rFonts w:ascii="Palatino Linotype" w:eastAsia="Calibri" w:hAnsi="Palatino Linotype"/>
          <w:lang w:eastAsia="es-ES"/>
        </w:rPr>
        <w:t>,</w:t>
      </w:r>
      <w:r w:rsidR="0029569F">
        <w:rPr>
          <w:rFonts w:ascii="Palatino Linotype" w:eastAsia="Calibri" w:hAnsi="Palatino Linotype"/>
          <w:lang w:eastAsia="es-ES"/>
        </w:rPr>
        <w:t xml:space="preserve"> en la </w:t>
      </w:r>
      <w:r>
        <w:rPr>
          <w:rFonts w:ascii="Palatino Linotype" w:eastAsia="Calibri" w:hAnsi="Palatino Linotype"/>
          <w:lang w:eastAsia="es-ES"/>
        </w:rPr>
        <w:t xml:space="preserve">propia </w:t>
      </w:r>
      <w:r w:rsidR="0029569F">
        <w:rPr>
          <w:rFonts w:ascii="Palatino Linotype" w:eastAsia="Calibri" w:hAnsi="Palatino Linotype"/>
          <w:lang w:eastAsia="es-ES"/>
        </w:rPr>
        <w:t xml:space="preserve">Ley de Ingresos </w:t>
      </w:r>
      <w:r>
        <w:rPr>
          <w:rFonts w:ascii="Palatino Linotype" w:eastAsia="Calibri" w:hAnsi="Palatino Linotype"/>
          <w:lang w:eastAsia="es-ES"/>
        </w:rPr>
        <w:t xml:space="preserve">de la entidad </w:t>
      </w:r>
      <w:r w:rsidR="0029569F">
        <w:rPr>
          <w:rFonts w:ascii="Palatino Linotype" w:eastAsia="Calibri" w:hAnsi="Palatino Linotype"/>
          <w:lang w:eastAsia="es-ES"/>
        </w:rPr>
        <w:t>no se reflejan los recursos que se les asignan</w:t>
      </w:r>
      <w:r w:rsidR="008324F5">
        <w:rPr>
          <w:rFonts w:ascii="Palatino Linotype" w:eastAsia="Calibri" w:hAnsi="Palatino Linotype"/>
          <w:lang w:eastAsia="es-ES"/>
        </w:rPr>
        <w:t>, y tampoco el CUSAEM los reporta</w:t>
      </w:r>
      <w:r w:rsidR="0029569F">
        <w:rPr>
          <w:rFonts w:ascii="Palatino Linotype" w:eastAsia="Calibri" w:hAnsi="Palatino Linotype"/>
          <w:lang w:eastAsia="es-ES"/>
        </w:rPr>
        <w:t xml:space="preserve">; sin embargo, como ya se ha mostrado en el párrafo que antecede, al ser capital que proviene directamente del Estado, </w:t>
      </w:r>
      <w:r w:rsidR="00FF6E92">
        <w:rPr>
          <w:rFonts w:ascii="Palatino Linotype" w:eastAsia="Calibri" w:hAnsi="Palatino Linotype"/>
          <w:lang w:eastAsia="es-ES"/>
        </w:rPr>
        <w:t>no deja de ser p</w:t>
      </w:r>
      <w:r w:rsidR="008324F5">
        <w:rPr>
          <w:rFonts w:ascii="Palatino Linotype" w:eastAsia="Calibri" w:hAnsi="Palatino Linotype"/>
          <w:lang w:eastAsia="es-ES"/>
        </w:rPr>
        <w:t>úblico.</w:t>
      </w:r>
    </w:p>
    <w:p w:rsidR="00FF6E92" w:rsidRPr="009B0BD7" w:rsidRDefault="00FF6E92" w:rsidP="00FF6E92">
      <w:pPr>
        <w:pStyle w:val="Prrafodelista"/>
        <w:rPr>
          <w:rFonts w:ascii="Palatino Linotype" w:eastAsia="Calibri" w:hAnsi="Palatino Linotype"/>
          <w:sz w:val="32"/>
          <w:lang w:eastAsia="es-ES"/>
        </w:rPr>
      </w:pPr>
    </w:p>
    <w:p w:rsidR="00FF6E92" w:rsidRDefault="00FF6E92"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lastRenderedPageBreak/>
        <w:t>Esta falta de regulación es incluso uno de los puntos tratados en la exposición de motivos de la Ley Orgánica en cuestión, ya que se establece sustancialmente que estos organismos son concebidos por la Ley como parte de la Administración Pública Estatal, con el objetivo de iniciar un proceso de ordenación y depuración de la Administración Paraestatal, ya que en la actualidad algunos organismos existentes realizan funciones que corresponden a las dependencias del Ejecutivo, mientras que otros, en cambio, no justifican su existencia, tal y como se presenta en este caso.</w:t>
      </w:r>
    </w:p>
    <w:p w:rsidR="0029569F" w:rsidRPr="009B0BD7" w:rsidRDefault="0029569F" w:rsidP="0029569F">
      <w:pPr>
        <w:pStyle w:val="Prrafodelista"/>
        <w:rPr>
          <w:rFonts w:ascii="Palatino Linotype" w:eastAsia="Calibri" w:hAnsi="Palatino Linotype"/>
          <w:sz w:val="28"/>
          <w:lang w:eastAsia="es-ES"/>
        </w:rPr>
      </w:pPr>
    </w:p>
    <w:p w:rsidR="00FF6E92" w:rsidRDefault="00FF6E92"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Pr>
          <w:rFonts w:ascii="Palatino Linotype" w:eastAsia="Calibri" w:hAnsi="Palatino Linotype"/>
          <w:lang w:eastAsia="es-ES"/>
        </w:rPr>
        <w:t>Así, de la falta de re</w:t>
      </w:r>
      <w:r w:rsidR="00597EA9">
        <w:rPr>
          <w:rFonts w:ascii="Palatino Linotype" w:eastAsia="Calibri" w:hAnsi="Palatino Linotype"/>
          <w:lang w:eastAsia="es-ES"/>
        </w:rPr>
        <w:t>gulación que se presenta en estos</w:t>
      </w:r>
      <w:r>
        <w:rPr>
          <w:rFonts w:ascii="Palatino Linotype" w:eastAsia="Calibri" w:hAnsi="Palatino Linotype"/>
          <w:lang w:eastAsia="es-ES"/>
        </w:rPr>
        <w:t xml:space="preserve"> organismos</w:t>
      </w:r>
      <w:r w:rsidR="00076E75">
        <w:rPr>
          <w:rFonts w:ascii="Palatino Linotype" w:eastAsia="Calibri" w:hAnsi="Palatino Linotype"/>
          <w:lang w:eastAsia="es-ES"/>
        </w:rPr>
        <w:t xml:space="preserve">, resulta procedente que </w:t>
      </w:r>
      <w:r>
        <w:rPr>
          <w:rFonts w:ascii="Palatino Linotype" w:eastAsia="Calibri" w:hAnsi="Palatino Linotype"/>
          <w:lang w:eastAsia="es-ES"/>
        </w:rPr>
        <w:t xml:space="preserve">con fundamento en la Ley </w:t>
      </w:r>
      <w:r w:rsidR="00076E75">
        <w:rPr>
          <w:rFonts w:ascii="Palatino Linotype" w:eastAsia="Calibri" w:hAnsi="Palatino Linotype"/>
          <w:lang w:eastAsia="es-ES"/>
        </w:rPr>
        <w:t xml:space="preserve">de Responsabilidades Administrativas del Estado de México y Municipios, </w:t>
      </w:r>
      <w:r w:rsidR="008324F5">
        <w:rPr>
          <w:rFonts w:ascii="Palatino Linotype" w:eastAsia="Calibri" w:hAnsi="Palatino Linotype"/>
          <w:lang w:eastAsia="es-ES"/>
        </w:rPr>
        <w:t xml:space="preserve">se inicie un procedimiento en contra de los servidores públicos responsables de que </w:t>
      </w:r>
      <w:r w:rsidR="00597EA9">
        <w:rPr>
          <w:rFonts w:ascii="Palatino Linotype" w:eastAsia="Calibri" w:hAnsi="Palatino Linotype"/>
          <w:lang w:eastAsia="es-ES"/>
        </w:rPr>
        <w:t xml:space="preserve">organismos como </w:t>
      </w:r>
      <w:r w:rsidR="008324F5">
        <w:rPr>
          <w:rFonts w:ascii="Palatino Linotype" w:eastAsia="Calibri" w:hAnsi="Palatino Linotype"/>
          <w:lang w:eastAsia="es-ES"/>
        </w:rPr>
        <w:t>el CUSAEM</w:t>
      </w:r>
      <w:r w:rsidR="00597EA9">
        <w:rPr>
          <w:rFonts w:ascii="Palatino Linotype" w:eastAsia="Calibri" w:hAnsi="Palatino Linotype"/>
          <w:lang w:eastAsia="es-ES"/>
        </w:rPr>
        <w:t>, sino es que este en particular,</w:t>
      </w:r>
      <w:r w:rsidR="008324F5">
        <w:rPr>
          <w:rFonts w:ascii="Palatino Linotype" w:eastAsia="Calibri" w:hAnsi="Palatino Linotype"/>
          <w:lang w:eastAsia="es-ES"/>
        </w:rPr>
        <w:t xml:space="preserve"> no se encuentre</w:t>
      </w:r>
      <w:r w:rsidR="00597EA9">
        <w:rPr>
          <w:rFonts w:ascii="Palatino Linotype" w:eastAsia="Calibri" w:hAnsi="Palatino Linotype"/>
          <w:lang w:eastAsia="es-ES"/>
        </w:rPr>
        <w:t>n</w:t>
      </w:r>
      <w:r w:rsidR="008324F5">
        <w:rPr>
          <w:rFonts w:ascii="Palatino Linotype" w:eastAsia="Calibri" w:hAnsi="Palatino Linotype"/>
          <w:lang w:eastAsia="es-ES"/>
        </w:rPr>
        <w:t xml:space="preserve"> debidamente regulado</w:t>
      </w:r>
      <w:r w:rsidR="00597EA9">
        <w:rPr>
          <w:rFonts w:ascii="Palatino Linotype" w:eastAsia="Calibri" w:hAnsi="Palatino Linotype"/>
          <w:lang w:eastAsia="es-ES"/>
        </w:rPr>
        <w:t>s</w:t>
      </w:r>
      <w:r w:rsidR="008324F5">
        <w:rPr>
          <w:rFonts w:ascii="Palatino Linotype" w:eastAsia="Calibri" w:hAnsi="Palatino Linotype"/>
          <w:lang w:eastAsia="es-ES"/>
        </w:rPr>
        <w:t>.</w:t>
      </w:r>
    </w:p>
    <w:p w:rsidR="00FF6E92" w:rsidRPr="009B0BD7" w:rsidRDefault="00FF6E92" w:rsidP="00FF6E92">
      <w:pPr>
        <w:pStyle w:val="Prrafodelista"/>
        <w:rPr>
          <w:rFonts w:ascii="Palatino Linotype" w:eastAsia="Calibri" w:hAnsi="Palatino Linotype"/>
          <w:sz w:val="36"/>
          <w:lang w:eastAsia="es-ES"/>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sidRPr="00E0400B">
        <w:rPr>
          <w:rFonts w:ascii="Palatino Linotype" w:eastAsia="Calibri" w:hAnsi="Palatino Linotype"/>
          <w:lang w:eastAsia="es-ES"/>
        </w:rPr>
        <w:t xml:space="preserve">Por lo </w:t>
      </w:r>
      <w:r w:rsidR="008324F5">
        <w:rPr>
          <w:rFonts w:ascii="Palatino Linotype" w:eastAsia="Calibri" w:hAnsi="Palatino Linotype"/>
          <w:lang w:eastAsia="es-ES"/>
        </w:rPr>
        <w:t xml:space="preserve">tanto, </w:t>
      </w:r>
      <w:r w:rsidRPr="00E0400B">
        <w:rPr>
          <w:rFonts w:ascii="Palatino Linotype" w:eastAsia="Calibri" w:hAnsi="Palatino Linotype"/>
          <w:lang w:eastAsia="es-ES"/>
        </w:rPr>
        <w:t xml:space="preserve">la respuesta emitida por el </w:t>
      </w:r>
      <w:r w:rsidRPr="00C2565F">
        <w:rPr>
          <w:rFonts w:ascii="Palatino Linotype" w:eastAsia="Calibri" w:hAnsi="Palatino Linotype"/>
          <w:b/>
          <w:caps/>
          <w:lang w:eastAsia="es-ES"/>
        </w:rPr>
        <w:t>Sujeto Obligado</w:t>
      </w:r>
      <w:r w:rsidRPr="00E0400B">
        <w:rPr>
          <w:rFonts w:ascii="Palatino Linotype" w:eastAsia="Calibri" w:hAnsi="Palatino Linotype"/>
          <w:lang w:eastAsia="es-ES"/>
        </w:rPr>
        <w:t>, al amparo de las disposiciones por él citadas, son insuficientes y deficientes para concluir, como indebidamente pretende la autoridad, señalando que no existe relación entre la institución pública y el organismo auxiliar, que le permita contar con la información solicitada. Por lo tanto</w:t>
      </w:r>
      <w:r>
        <w:rPr>
          <w:rFonts w:ascii="Palatino Linotype" w:eastAsia="Calibri" w:hAnsi="Palatino Linotype"/>
          <w:lang w:eastAsia="es-ES"/>
        </w:rPr>
        <w:t>, soy de la opinión de que</w:t>
      </w:r>
      <w:r w:rsidRPr="00E0400B">
        <w:rPr>
          <w:rFonts w:ascii="Palatino Linotype" w:eastAsia="Calibri" w:hAnsi="Palatino Linotype"/>
          <w:lang w:eastAsia="es-ES"/>
        </w:rPr>
        <w:t xml:space="preserve"> la respuesta emitida vulnera el derecho de acceso a la información de</w:t>
      </w:r>
      <w:r w:rsidR="008324F5">
        <w:rPr>
          <w:rFonts w:ascii="Palatino Linotype" w:eastAsia="Calibri" w:hAnsi="Palatino Linotype"/>
          <w:lang w:eastAsia="es-ES"/>
        </w:rPr>
        <w:t xml:space="preserve"> la</w:t>
      </w:r>
      <w:r w:rsidRPr="00E0400B">
        <w:rPr>
          <w:rFonts w:ascii="Palatino Linotype" w:eastAsia="Calibri" w:hAnsi="Palatino Linotype"/>
          <w:lang w:eastAsia="es-ES"/>
        </w:rPr>
        <w:t xml:space="preserve"> </w:t>
      </w:r>
      <w:r w:rsidR="00C43352">
        <w:rPr>
          <w:rFonts w:ascii="Palatino Linotype" w:eastAsia="Calibri" w:hAnsi="Palatino Linotype"/>
          <w:lang w:eastAsia="es-ES"/>
        </w:rPr>
        <w:t>particular</w:t>
      </w:r>
      <w:r w:rsidR="008324F5">
        <w:rPr>
          <w:rFonts w:ascii="Palatino Linotype" w:hAnsi="Palatino Linotype" w:cs="Arial"/>
          <w:b/>
        </w:rPr>
        <w:t xml:space="preserve"> </w:t>
      </w:r>
      <w:r w:rsidRPr="00E0400B">
        <w:rPr>
          <w:rFonts w:ascii="Palatino Linotype" w:eastAsia="Calibri" w:hAnsi="Palatino Linotype"/>
          <w:lang w:eastAsia="es-ES"/>
        </w:rPr>
        <w:t xml:space="preserve">al negar información bajo una supuesta inexistente relación que, contrario a lo manifestado por el </w:t>
      </w:r>
      <w:r w:rsidRPr="00E0400B">
        <w:rPr>
          <w:rFonts w:ascii="Palatino Linotype" w:eastAsia="Calibri" w:hAnsi="Palatino Linotype"/>
          <w:b/>
          <w:lang w:eastAsia="es-ES"/>
        </w:rPr>
        <w:t>SUJETO OBLIGADO,</w:t>
      </w:r>
      <w:r w:rsidRPr="00E0400B">
        <w:rPr>
          <w:rFonts w:ascii="Palatino Linotype" w:eastAsia="Calibri" w:hAnsi="Palatino Linotype"/>
          <w:lang w:eastAsia="es-ES"/>
        </w:rPr>
        <w:t xml:space="preserve"> en realidad sí existe, toda vez que a la luz de las </w:t>
      </w:r>
      <w:r w:rsidRPr="00E0400B">
        <w:rPr>
          <w:rFonts w:ascii="Palatino Linotype" w:eastAsia="Calibri" w:hAnsi="Palatino Linotype"/>
          <w:lang w:eastAsia="es-ES"/>
        </w:rPr>
        <w:lastRenderedPageBreak/>
        <w:t>disposiciones jurídicas señaladas en la presente sección</w:t>
      </w:r>
      <w:r w:rsidR="008324F5">
        <w:rPr>
          <w:rFonts w:ascii="Palatino Linotype" w:eastAsia="Calibri" w:hAnsi="Palatino Linotype"/>
          <w:lang w:eastAsia="es-ES"/>
        </w:rPr>
        <w:t xml:space="preserve"> y por los antecedentes en resoluciones de recursos de revisión anteriores, </w:t>
      </w:r>
      <w:r w:rsidRPr="00E0400B">
        <w:rPr>
          <w:rFonts w:ascii="Palatino Linotype" w:eastAsia="Calibri" w:hAnsi="Palatino Linotype"/>
          <w:lang w:eastAsia="es-ES"/>
        </w:rPr>
        <w:t xml:space="preserve"> se aprecia que existe una clara fuente de atribuciones de la autoridad que perfectamente explican una relación de la cual se derive la información solicitada en su totalidad o</w:t>
      </w:r>
      <w:r>
        <w:rPr>
          <w:rFonts w:ascii="Palatino Linotype" w:eastAsia="Calibri" w:hAnsi="Palatino Linotype"/>
          <w:lang w:eastAsia="es-ES"/>
        </w:rPr>
        <w:t xml:space="preserve"> en una</w:t>
      </w:r>
      <w:r w:rsidRPr="00E0400B">
        <w:rPr>
          <w:rFonts w:ascii="Palatino Linotype" w:eastAsia="Calibri" w:hAnsi="Palatino Linotype"/>
          <w:lang w:eastAsia="es-ES"/>
        </w:rPr>
        <w:t xml:space="preserve"> parte de ella</w:t>
      </w:r>
      <w:r>
        <w:rPr>
          <w:rFonts w:ascii="Palatino Linotype" w:eastAsia="Calibri" w:hAnsi="Palatino Linotype"/>
          <w:lang w:eastAsia="es-ES"/>
        </w:rPr>
        <w:t xml:space="preserve"> que incluye aspectos no ordenados en la resolución de la que me aparto</w:t>
      </w:r>
      <w:r w:rsidRPr="00E0400B">
        <w:rPr>
          <w:rFonts w:ascii="Palatino Linotype" w:eastAsia="Calibri" w:hAnsi="Palatino Linotype"/>
          <w:lang w:eastAsia="es-ES"/>
        </w:rPr>
        <w:t>.</w:t>
      </w:r>
    </w:p>
    <w:p w:rsidR="00D76183" w:rsidRPr="009B0BD7" w:rsidRDefault="00D76183" w:rsidP="00D76183">
      <w:pPr>
        <w:spacing w:line="360" w:lineRule="auto"/>
        <w:jc w:val="both"/>
        <w:rPr>
          <w:rFonts w:ascii="Palatino Linotype" w:eastAsia="Calibri" w:hAnsi="Palatino Linotype"/>
          <w:sz w:val="28"/>
          <w:lang w:eastAsia="es-ES"/>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sidRPr="00E0400B">
        <w:rPr>
          <w:rFonts w:ascii="Palatino Linotype" w:eastAsia="Calibri" w:hAnsi="Palatino Linotype"/>
          <w:lang w:eastAsia="es-ES"/>
        </w:rPr>
        <w:t xml:space="preserve">En razón de que la relación jurídica debe existir, contando el </w:t>
      </w:r>
      <w:r w:rsidRPr="00C2565F">
        <w:rPr>
          <w:rFonts w:ascii="Palatino Linotype" w:eastAsia="Calibri" w:hAnsi="Palatino Linotype"/>
          <w:b/>
          <w:lang w:eastAsia="es-ES"/>
        </w:rPr>
        <w:t>SUJETO OBLIGADO,</w:t>
      </w:r>
      <w:r w:rsidRPr="00E0400B">
        <w:rPr>
          <w:rFonts w:ascii="Palatino Linotype" w:eastAsia="Calibri" w:hAnsi="Palatino Linotype"/>
          <w:lang w:eastAsia="es-ES"/>
        </w:rPr>
        <w:t xml:space="preserve"> con claras facultades de supervisión y control, es que resulta plenamente aplicable el primer párrafo del artículo 19 de la Ley General de Transparencia y Acceso a la Información Pública, por lo que </w:t>
      </w:r>
      <w:r>
        <w:rPr>
          <w:rFonts w:ascii="Palatino Linotype" w:eastAsia="Calibri" w:hAnsi="Palatino Linotype"/>
          <w:lang w:eastAsia="es-ES"/>
        </w:rPr>
        <w:t>debimos de l</w:t>
      </w:r>
      <w:r w:rsidRPr="00E0400B">
        <w:rPr>
          <w:rFonts w:ascii="Palatino Linotype" w:eastAsia="Calibri" w:hAnsi="Palatino Linotype"/>
          <w:lang w:eastAsia="es-ES"/>
        </w:rPr>
        <w:t>lega</w:t>
      </w:r>
      <w:r>
        <w:rPr>
          <w:rFonts w:ascii="Palatino Linotype" w:eastAsia="Calibri" w:hAnsi="Palatino Linotype"/>
          <w:lang w:eastAsia="es-ES"/>
        </w:rPr>
        <w:t>r</w:t>
      </w:r>
      <w:r w:rsidRPr="00E0400B">
        <w:rPr>
          <w:rFonts w:ascii="Palatino Linotype" w:eastAsia="Calibri" w:hAnsi="Palatino Linotype"/>
          <w:lang w:eastAsia="es-ES"/>
        </w:rPr>
        <w:t xml:space="preserve"> a la conclusión de que al tratarse de información relacionada con las facultades, competencias y funciones del </w:t>
      </w:r>
      <w:r w:rsidRPr="00C2565F">
        <w:rPr>
          <w:rFonts w:ascii="Palatino Linotype" w:eastAsia="Calibri" w:hAnsi="Palatino Linotype"/>
          <w:b/>
          <w:lang w:eastAsia="es-ES"/>
        </w:rPr>
        <w:t>SUJETO OBLIGADO,</w:t>
      </w:r>
      <w:r w:rsidRPr="00E0400B">
        <w:rPr>
          <w:rFonts w:ascii="Palatino Linotype" w:eastAsia="Calibri" w:hAnsi="Palatino Linotype"/>
          <w:lang w:eastAsia="es-ES"/>
        </w:rPr>
        <w:t xml:space="preserve"> señaladas en ordenamientos jurídicos aplicables, la información presumiblemente debe existir.</w:t>
      </w:r>
    </w:p>
    <w:p w:rsidR="00D76183" w:rsidRPr="009B0BD7" w:rsidRDefault="00D76183" w:rsidP="00D76183">
      <w:pPr>
        <w:pStyle w:val="Prrafodelista"/>
        <w:rPr>
          <w:rFonts w:ascii="Palatino Linotype" w:eastAsia="Calibri" w:hAnsi="Palatino Linotype"/>
          <w:sz w:val="32"/>
          <w:lang w:eastAsia="es-ES"/>
        </w:rPr>
      </w:pPr>
    </w:p>
    <w:p w:rsidR="00554749" w:rsidRDefault="008324F5" w:rsidP="0055474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eastAsia="Calibri" w:hAnsi="Palatino Linotype"/>
          <w:lang w:eastAsia="es-ES"/>
        </w:rPr>
      </w:pPr>
      <w:r w:rsidRPr="00554749">
        <w:rPr>
          <w:rFonts w:ascii="Palatino Linotype" w:eastAsia="Calibri" w:hAnsi="Palatino Linotype"/>
          <w:lang w:eastAsia="es-ES"/>
        </w:rPr>
        <w:t>Si bien</w:t>
      </w:r>
      <w:r w:rsidR="00B603A2">
        <w:rPr>
          <w:rFonts w:ascii="Palatino Linotype" w:eastAsia="Calibri" w:hAnsi="Palatino Linotype"/>
          <w:lang w:eastAsia="es-ES"/>
        </w:rPr>
        <w:t>,</w:t>
      </w:r>
      <w:r w:rsidRPr="00554749">
        <w:rPr>
          <w:rFonts w:ascii="Palatino Linotype" w:eastAsia="Calibri" w:hAnsi="Palatino Linotype"/>
          <w:lang w:eastAsia="es-ES"/>
        </w:rPr>
        <w:t xml:space="preserve"> en el proyecto de resolución presentado para e</w:t>
      </w:r>
      <w:r w:rsidR="00B603A2">
        <w:rPr>
          <w:rFonts w:ascii="Palatino Linotype" w:eastAsia="Calibri" w:hAnsi="Palatino Linotype"/>
          <w:lang w:eastAsia="es-ES"/>
        </w:rPr>
        <w:t>l recurso de revisión en mérito</w:t>
      </w:r>
      <w:r w:rsidRPr="00554749">
        <w:rPr>
          <w:rFonts w:ascii="Palatino Linotype" w:eastAsia="Calibri" w:hAnsi="Palatino Linotype"/>
          <w:lang w:eastAsia="es-ES"/>
        </w:rPr>
        <w:t xml:space="preserve"> se determinó </w:t>
      </w:r>
      <w:r w:rsidRPr="00554749">
        <w:rPr>
          <w:rFonts w:ascii="Palatino Linotype" w:eastAsia="Calibri" w:hAnsi="Palatino Linotype"/>
          <w:b/>
          <w:lang w:eastAsia="es-ES"/>
        </w:rPr>
        <w:t>REVOCAR</w:t>
      </w:r>
      <w:r w:rsidRPr="00554749">
        <w:rPr>
          <w:rFonts w:ascii="Palatino Linotype" w:eastAsia="Calibri" w:hAnsi="Palatino Linotype"/>
          <w:lang w:eastAsia="es-ES"/>
        </w:rPr>
        <w:t xml:space="preserve"> la respuesta que formuló</w:t>
      </w:r>
      <w:r w:rsidR="00D76183" w:rsidRPr="00554749">
        <w:rPr>
          <w:rFonts w:ascii="Palatino Linotype" w:eastAsia="Calibri" w:hAnsi="Palatino Linotype"/>
          <w:lang w:eastAsia="es-ES"/>
        </w:rPr>
        <w:t xml:space="preserve"> el </w:t>
      </w:r>
      <w:r w:rsidR="00D76183" w:rsidRPr="00554749">
        <w:rPr>
          <w:rFonts w:ascii="Palatino Linotype" w:eastAsia="Calibri" w:hAnsi="Palatino Linotype"/>
          <w:b/>
          <w:lang w:eastAsia="es-ES"/>
        </w:rPr>
        <w:t>SUJETO OBLIGADO</w:t>
      </w:r>
      <w:r w:rsidRPr="00554749">
        <w:rPr>
          <w:rFonts w:ascii="Palatino Linotype" w:eastAsia="Calibri" w:hAnsi="Palatino Linotype"/>
          <w:b/>
          <w:lang w:eastAsia="es-ES"/>
        </w:rPr>
        <w:t xml:space="preserve">, </w:t>
      </w:r>
      <w:r w:rsidR="00554749" w:rsidRPr="00554749">
        <w:rPr>
          <w:rFonts w:ascii="Palatino Linotype" w:eastAsia="Calibri" w:hAnsi="Palatino Linotype"/>
          <w:lang w:eastAsia="es-ES"/>
        </w:rPr>
        <w:t>a partir de que se podría contar con atribuciones para atender parcialmente los requerimientos del solicitante, a mi consideración en caso de que no se contara con la misma se debió ordenar, no sólo hacer del conocimiento a la ciudadana, mediante un simple pronunciamiento, sino a través de la declaratoria de inexistencia, ya que como se ha establecido es evidente la relación jurídica que existe entre este ente y la Secretaría de Seguridad del Estado</w:t>
      </w:r>
      <w:r w:rsidR="00554749">
        <w:rPr>
          <w:rFonts w:ascii="Palatino Linotype" w:eastAsia="Calibri" w:hAnsi="Palatino Linotype"/>
          <w:lang w:eastAsia="es-ES"/>
        </w:rPr>
        <w:t>.</w:t>
      </w:r>
    </w:p>
    <w:p w:rsidR="00554749" w:rsidRPr="009B0BD7" w:rsidRDefault="00554749" w:rsidP="00554749">
      <w:pPr>
        <w:pStyle w:val="Prrafodelista"/>
        <w:rPr>
          <w:rFonts w:ascii="Palatino Linotype" w:eastAsia="Calibri" w:hAnsi="Palatino Linotype"/>
          <w:sz w:val="32"/>
          <w:lang w:eastAsia="es-ES"/>
        </w:rPr>
      </w:pPr>
    </w:p>
    <w:p w:rsidR="00EB0979" w:rsidRPr="0011671C" w:rsidRDefault="00D76183" w:rsidP="00EB097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pPr>
      <w:r w:rsidRPr="007A761C">
        <w:rPr>
          <w:rFonts w:ascii="Palatino Linotype" w:eastAsia="Calibri" w:hAnsi="Palatino Linotype"/>
          <w:lang w:eastAsia="es-ES"/>
        </w:rPr>
        <w:t xml:space="preserve">En el caso en cuestión </w:t>
      </w:r>
      <w:r w:rsidR="007A761C">
        <w:rPr>
          <w:rFonts w:ascii="Palatino Linotype" w:eastAsia="Calibri" w:hAnsi="Palatino Linotype"/>
          <w:lang w:eastAsia="es-ES"/>
        </w:rPr>
        <w:t>la información relativa a</w:t>
      </w:r>
      <w:r w:rsidR="00193BC8">
        <w:rPr>
          <w:rFonts w:ascii="Palatino Linotype" w:eastAsia="Calibri" w:hAnsi="Palatino Linotype"/>
          <w:lang w:eastAsia="es-ES"/>
        </w:rPr>
        <w:t xml:space="preserve"> al </w:t>
      </w:r>
      <w:r w:rsidR="00554749">
        <w:rPr>
          <w:rFonts w:ascii="Palatino Linotype" w:eastAsia="Calibri" w:hAnsi="Palatino Linotype"/>
          <w:lang w:eastAsia="es-ES"/>
        </w:rPr>
        <w:t>número de elementos con los que cuenta el CUSAEM, su n</w:t>
      </w:r>
      <w:r w:rsidR="00EB0979">
        <w:rPr>
          <w:rFonts w:ascii="Palatino Linotype" w:eastAsia="Calibri" w:hAnsi="Palatino Linotype"/>
          <w:lang w:eastAsia="es-ES"/>
        </w:rPr>
        <w:t xml:space="preserve">ómina, </w:t>
      </w:r>
      <w:r w:rsidR="00554749">
        <w:rPr>
          <w:rFonts w:ascii="Palatino Linotype" w:eastAsia="Calibri" w:hAnsi="Palatino Linotype"/>
          <w:lang w:eastAsia="es-ES"/>
        </w:rPr>
        <w:t xml:space="preserve">si </w:t>
      </w:r>
      <w:r w:rsidR="00B603A2">
        <w:rPr>
          <w:rFonts w:ascii="Palatino Linotype" w:eastAsia="Calibri" w:hAnsi="Palatino Linotype"/>
          <w:lang w:eastAsia="es-ES"/>
        </w:rPr>
        <w:t xml:space="preserve">esta </w:t>
      </w:r>
      <w:r w:rsidR="00193BC8">
        <w:rPr>
          <w:rFonts w:ascii="Palatino Linotype" w:eastAsia="Calibri" w:hAnsi="Palatino Linotype"/>
          <w:lang w:eastAsia="es-ES"/>
        </w:rPr>
        <w:t>es a cargo del gobierno del Estado</w:t>
      </w:r>
      <w:r w:rsidR="00193BC8">
        <w:rPr>
          <w:rFonts w:ascii="Palatino Linotype" w:eastAsia="Calibri" w:hAnsi="Palatino Linotype"/>
          <w:i/>
          <w:lang w:eastAsia="es-ES"/>
        </w:rPr>
        <w:t>,</w:t>
      </w:r>
      <w:r w:rsidR="00EB0979">
        <w:rPr>
          <w:rFonts w:ascii="Palatino Linotype" w:eastAsia="Calibri" w:hAnsi="Palatino Linotype"/>
          <w:lang w:eastAsia="es-ES"/>
        </w:rPr>
        <w:t xml:space="preserve"> </w:t>
      </w:r>
      <w:r w:rsidR="00B603A2">
        <w:rPr>
          <w:rFonts w:ascii="Palatino Linotype" w:eastAsia="Calibri" w:hAnsi="Palatino Linotype"/>
          <w:lang w:eastAsia="es-ES"/>
        </w:rPr>
        <w:t xml:space="preserve">quienes son las </w:t>
      </w:r>
      <w:r w:rsidR="00EB0979">
        <w:rPr>
          <w:rFonts w:ascii="Palatino Linotype" w:eastAsia="Calibri" w:hAnsi="Palatino Linotype"/>
          <w:lang w:eastAsia="es-ES"/>
        </w:rPr>
        <w:t>empresas a las que presta sus servici</w:t>
      </w:r>
      <w:r w:rsidR="00AB39E6">
        <w:rPr>
          <w:rFonts w:ascii="Palatino Linotype" w:eastAsia="Calibri" w:hAnsi="Palatino Linotype"/>
          <w:lang w:eastAsia="es-ES"/>
        </w:rPr>
        <w:t>os de seguridad, y los ingresos por dichos servicios,</w:t>
      </w:r>
      <w:r w:rsidR="00193BC8">
        <w:rPr>
          <w:rFonts w:ascii="Palatino Linotype" w:eastAsia="Calibri" w:hAnsi="Palatino Linotype"/>
          <w:i/>
          <w:lang w:eastAsia="es-ES"/>
        </w:rPr>
        <w:t xml:space="preserve"> </w:t>
      </w:r>
      <w:r w:rsidR="00193BC8" w:rsidRPr="00193BC8">
        <w:rPr>
          <w:rFonts w:ascii="Palatino Linotype" w:eastAsia="Calibri" w:hAnsi="Palatino Linotype"/>
          <w:lang w:eastAsia="es-ES"/>
        </w:rPr>
        <w:t>es</w:t>
      </w:r>
      <w:r w:rsidR="00193BC8">
        <w:rPr>
          <w:rFonts w:ascii="Palatino Linotype" w:eastAsia="Calibri" w:hAnsi="Palatino Linotype"/>
          <w:i/>
          <w:lang w:eastAsia="es-ES"/>
        </w:rPr>
        <w:t xml:space="preserve"> </w:t>
      </w:r>
      <w:r w:rsidR="007527C4">
        <w:rPr>
          <w:rFonts w:ascii="Palatino Linotype" w:eastAsia="Calibri" w:hAnsi="Palatino Linotype"/>
          <w:lang w:eastAsia="es-ES"/>
        </w:rPr>
        <w:t xml:space="preserve">información </w:t>
      </w:r>
      <w:r w:rsidRPr="007A761C">
        <w:rPr>
          <w:rFonts w:ascii="Palatino Linotype" w:eastAsia="Calibri" w:hAnsi="Palatino Linotype"/>
          <w:lang w:eastAsia="es-ES"/>
        </w:rPr>
        <w:t xml:space="preserve">que </w:t>
      </w:r>
      <w:r w:rsidR="00193BC8">
        <w:rPr>
          <w:rFonts w:ascii="Palatino Linotype" w:eastAsia="Calibri" w:hAnsi="Palatino Linotype"/>
          <w:lang w:eastAsia="es-ES"/>
        </w:rPr>
        <w:t xml:space="preserve">se infiere debe existir y por ende </w:t>
      </w:r>
      <w:r w:rsidR="00EB0979">
        <w:rPr>
          <w:rFonts w:ascii="Palatino Linotype" w:eastAsia="Calibri" w:hAnsi="Palatino Linotype"/>
          <w:lang w:eastAsia="es-ES"/>
        </w:rPr>
        <w:t>entregarse.</w:t>
      </w:r>
    </w:p>
    <w:p w:rsidR="0011671C" w:rsidRPr="009B0BD7" w:rsidRDefault="0011671C" w:rsidP="0011671C">
      <w:pPr>
        <w:pStyle w:val="Prrafodelista"/>
        <w:rPr>
          <w:sz w:val="36"/>
        </w:rPr>
      </w:pPr>
    </w:p>
    <w:p w:rsidR="0011671C" w:rsidRPr="0011671C" w:rsidRDefault="0011671C" w:rsidP="00EB097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rPr>
      </w:pPr>
      <w:r w:rsidRPr="0011671C">
        <w:rPr>
          <w:rFonts w:ascii="Palatino Linotype" w:hAnsi="Palatino Linotype"/>
        </w:rPr>
        <w:t>No como</w:t>
      </w:r>
      <w:r>
        <w:rPr>
          <w:rFonts w:ascii="Palatino Linotype" w:hAnsi="Palatino Linotype"/>
        </w:rPr>
        <w:t xml:space="preserve"> se planteó en el proyecto de resolución aprobado por la mayoría de los integrantes del Pleno, en donde únicamente se resolvió por cuanto hace a dos puntos solicitados por la ciudadana, y que en caso de no contar con la información se le hiciera del conocimiento </w:t>
      </w:r>
      <w:r w:rsidR="00797D39">
        <w:rPr>
          <w:rFonts w:ascii="Palatino Linotype" w:hAnsi="Palatino Linotype"/>
        </w:rPr>
        <w:t>en términos generales del artículo 19 de la Ley de Transparencia y Acceso a la Información Pública del Estado de México y Municipios.</w:t>
      </w:r>
    </w:p>
    <w:p w:rsidR="00AB39E6" w:rsidRPr="009B0BD7" w:rsidRDefault="00AB39E6" w:rsidP="007A761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b/>
        </w:rPr>
      </w:pPr>
    </w:p>
    <w:p w:rsidR="00D76183" w:rsidRDefault="00D76183" w:rsidP="001B364B">
      <w:pPr>
        <w:pStyle w:val="Ttulo1"/>
      </w:pPr>
      <w:bookmarkStart w:id="6" w:name="_Toc1405972"/>
      <w:r w:rsidRPr="00D007E3">
        <w:t>VI</w:t>
      </w:r>
      <w:r w:rsidR="001B364B">
        <w:t>I</w:t>
      </w:r>
      <w:r w:rsidRPr="00D007E3">
        <w:t>.  La obligación de documentar</w:t>
      </w:r>
      <w:r w:rsidRPr="007A761C">
        <w:t>.</w:t>
      </w:r>
      <w:bookmarkEnd w:id="6"/>
    </w:p>
    <w:p w:rsidR="00E205B6" w:rsidRPr="009B0BD7" w:rsidRDefault="00E205B6" w:rsidP="007A761C">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sz w:val="32"/>
        </w:rPr>
      </w:pPr>
      <w:r>
        <w:t xml:space="preserve"> </w:t>
      </w:r>
    </w:p>
    <w:p w:rsidR="00597EA9" w:rsidRDefault="00597EA9" w:rsidP="00597EA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En ese tenor, si el CUSAEM, es un organismo de carácter público paraestatal </w:t>
      </w:r>
      <w:r w:rsidR="000E196F">
        <w:rPr>
          <w:rFonts w:ascii="Palatino Linotype" w:hAnsi="Palatino Linotype" w:cs="Arial"/>
        </w:rPr>
        <w:t>con</w:t>
      </w:r>
      <w:r>
        <w:rPr>
          <w:rFonts w:ascii="Palatino Linotype" w:hAnsi="Palatino Linotype" w:cs="Arial"/>
        </w:rPr>
        <w:t xml:space="preserve"> la connotación </w:t>
      </w:r>
      <w:r w:rsidR="000E196F">
        <w:rPr>
          <w:rFonts w:ascii="Palatino Linotype" w:hAnsi="Palatino Linotype" w:cs="Arial"/>
        </w:rPr>
        <w:t xml:space="preserve">que la Ley le da </w:t>
      </w:r>
      <w:r>
        <w:rPr>
          <w:rFonts w:ascii="Palatino Linotype" w:hAnsi="Palatino Linotype" w:cs="Arial"/>
        </w:rPr>
        <w:t>de auxiliar, por l</w:t>
      </w:r>
      <w:r w:rsidR="000E196F">
        <w:rPr>
          <w:rFonts w:ascii="Palatino Linotype" w:hAnsi="Palatino Linotype" w:cs="Arial"/>
        </w:rPr>
        <w:t>o tanto se encuentran regulados por el Estado.</w:t>
      </w:r>
    </w:p>
    <w:p w:rsidR="000E196F" w:rsidRPr="00597EA9" w:rsidRDefault="000E196F" w:rsidP="000E196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p>
    <w:p w:rsidR="00D76183" w:rsidRDefault="000E196F"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Así, c</w:t>
      </w:r>
      <w:r w:rsidR="00D76183">
        <w:rPr>
          <w:rFonts w:ascii="Palatino Linotype" w:hAnsi="Palatino Linotype" w:cs="Arial"/>
        </w:rPr>
        <w:t>omo se ha acreditado ampliamente, las actividades que desempeñan el tipo de organismos como éste en particular, forman parte de las actividades auxiliares en materia de Seguridad Públ</w:t>
      </w:r>
      <w:r>
        <w:rPr>
          <w:rFonts w:ascii="Palatino Linotype" w:hAnsi="Palatino Linotype" w:cs="Arial"/>
        </w:rPr>
        <w:t>ica que puede brindar el Estado, y que c</w:t>
      </w:r>
      <w:r w:rsidR="00D76183">
        <w:rPr>
          <w:rFonts w:ascii="Palatino Linotype" w:hAnsi="Palatino Linotype" w:cs="Arial"/>
        </w:rPr>
        <w:t xml:space="preserve">ontrario a lo </w:t>
      </w:r>
      <w:r w:rsidR="00D76183">
        <w:rPr>
          <w:rFonts w:ascii="Palatino Linotype" w:hAnsi="Palatino Linotype" w:cs="Arial"/>
        </w:rPr>
        <w:lastRenderedPageBreak/>
        <w:t xml:space="preserve">que el </w:t>
      </w:r>
      <w:r w:rsidR="0032313D" w:rsidRPr="0032313D">
        <w:rPr>
          <w:rFonts w:ascii="Palatino Linotype" w:hAnsi="Palatino Linotype" w:cs="Arial"/>
          <w:b/>
        </w:rPr>
        <w:t>SUJETO OBLIGADO</w:t>
      </w:r>
      <w:r w:rsidR="0032313D">
        <w:rPr>
          <w:rFonts w:ascii="Palatino Linotype" w:hAnsi="Palatino Linotype" w:cs="Arial"/>
        </w:rPr>
        <w:t xml:space="preserve"> </w:t>
      </w:r>
      <w:r w:rsidR="00D76183">
        <w:rPr>
          <w:rFonts w:ascii="Palatino Linotype" w:hAnsi="Palatino Linotype" w:cs="Arial"/>
        </w:rPr>
        <w:t xml:space="preserve">argumentó, existe claramente un conjunto de atribuciones que </w:t>
      </w:r>
      <w:r w:rsidR="0032313D">
        <w:rPr>
          <w:rFonts w:ascii="Palatino Linotype" w:hAnsi="Palatino Linotype" w:cs="Arial"/>
        </w:rPr>
        <w:t xml:space="preserve">lo </w:t>
      </w:r>
      <w:r w:rsidR="00D76183">
        <w:rPr>
          <w:rFonts w:ascii="Palatino Linotype" w:hAnsi="Palatino Linotype" w:cs="Arial"/>
        </w:rPr>
        <w:t xml:space="preserve">facultan para contar con la información a la que pretende acceder </w:t>
      </w:r>
      <w:r w:rsidR="0032313D">
        <w:rPr>
          <w:rFonts w:ascii="Palatino Linotype" w:hAnsi="Palatino Linotype" w:cs="Arial"/>
        </w:rPr>
        <w:t xml:space="preserve">la </w:t>
      </w:r>
      <w:r w:rsidR="00C43352">
        <w:rPr>
          <w:rFonts w:ascii="Palatino Linotype" w:hAnsi="Palatino Linotype" w:cs="Arial"/>
        </w:rPr>
        <w:t>particular,</w:t>
      </w:r>
      <w:r w:rsidR="00D76183">
        <w:rPr>
          <w:rFonts w:ascii="Palatino Linotype" w:hAnsi="Palatino Linotype" w:cs="Arial"/>
        </w:rPr>
        <w:t xml:space="preserve"> incluso, hay material probatorio que permite confirmar la relación que existe</w:t>
      </w:r>
      <w:r>
        <w:rPr>
          <w:rFonts w:ascii="Palatino Linotype" w:hAnsi="Palatino Linotype" w:cs="Arial"/>
        </w:rPr>
        <w:t xml:space="preserve"> entre este tipo de organismos y las dependencias del Estado.</w:t>
      </w:r>
    </w:p>
    <w:p w:rsidR="00D76183" w:rsidRPr="009B0BD7" w:rsidRDefault="00D76183" w:rsidP="00D76183">
      <w:pPr>
        <w:pStyle w:val="Prrafodelista"/>
        <w:spacing w:before="240" w:after="240" w:line="360" w:lineRule="auto"/>
        <w:ind w:left="142"/>
        <w:jc w:val="both"/>
        <w:rPr>
          <w:rFonts w:ascii="Palatino Linotype" w:hAnsi="Palatino Linotype" w:cs="Arial"/>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 </w:t>
      </w:r>
      <w:r w:rsidRPr="00A8303A">
        <w:rPr>
          <w:rFonts w:ascii="Palatino Linotype" w:hAnsi="Palatino Linotype" w:cs="Arial"/>
        </w:rPr>
        <w:t>Sin embargo</w:t>
      </w:r>
      <w:r w:rsidR="0032313D">
        <w:rPr>
          <w:rFonts w:ascii="Palatino Linotype" w:hAnsi="Palatino Linotype" w:cs="Arial"/>
        </w:rPr>
        <w:t>,</w:t>
      </w:r>
      <w:r w:rsidRPr="00A8303A">
        <w:rPr>
          <w:rFonts w:ascii="Palatino Linotype" w:hAnsi="Palatino Linotype" w:cs="Arial"/>
        </w:rPr>
        <w:t xml:space="preserve"> debe señalarse que en </w:t>
      </w:r>
      <w:r>
        <w:rPr>
          <w:rFonts w:ascii="Palatino Linotype" w:hAnsi="Palatino Linotype" w:cs="Arial"/>
        </w:rPr>
        <w:t xml:space="preserve">repetidas ocasiones </w:t>
      </w:r>
      <w:r w:rsidRPr="00A8303A">
        <w:rPr>
          <w:rFonts w:ascii="Palatino Linotype" w:hAnsi="Palatino Linotype" w:cs="Arial"/>
        </w:rPr>
        <w:t xml:space="preserve">el </w:t>
      </w:r>
      <w:r w:rsidRPr="00A8303A">
        <w:rPr>
          <w:rFonts w:ascii="Palatino Linotype" w:hAnsi="Palatino Linotype" w:cs="Arial"/>
          <w:b/>
        </w:rPr>
        <w:t>SUJETO OBLIGADO</w:t>
      </w:r>
      <w:r w:rsidRPr="00A8303A">
        <w:rPr>
          <w:rFonts w:ascii="Palatino Linotype" w:hAnsi="Palatino Linotype" w:cs="Arial"/>
        </w:rPr>
        <w:t xml:space="preserve"> </w:t>
      </w:r>
      <w:r>
        <w:rPr>
          <w:rFonts w:ascii="Palatino Linotype" w:hAnsi="Palatino Linotype" w:cs="Arial"/>
        </w:rPr>
        <w:t xml:space="preserve">nos ha remitido diversos documentos, entre ellos </w:t>
      </w:r>
      <w:r w:rsidRPr="00A8303A">
        <w:rPr>
          <w:rFonts w:ascii="Palatino Linotype" w:hAnsi="Palatino Linotype" w:cs="Arial"/>
        </w:rPr>
        <w:t xml:space="preserve">el Organigrama de la </w:t>
      </w:r>
      <w:r w:rsidR="0032313D">
        <w:rPr>
          <w:rFonts w:ascii="Palatino Linotype" w:hAnsi="Palatino Linotype" w:cs="Arial"/>
        </w:rPr>
        <w:t>Secretaría de Seguridad</w:t>
      </w:r>
      <w:r w:rsidRPr="00A8303A">
        <w:rPr>
          <w:rFonts w:ascii="Palatino Linotype" w:hAnsi="Palatino Linotype" w:cs="Arial"/>
        </w:rPr>
        <w:t xml:space="preserve">, la Codificación de las Unidades Administrativas de la </w:t>
      </w:r>
      <w:r w:rsidR="0032313D">
        <w:rPr>
          <w:rFonts w:ascii="Palatino Linotype" w:hAnsi="Palatino Linotype" w:cs="Arial"/>
        </w:rPr>
        <w:t>Secretaría</w:t>
      </w:r>
      <w:r w:rsidRPr="00A8303A">
        <w:rPr>
          <w:rFonts w:ascii="Palatino Linotype" w:hAnsi="Palatino Linotype" w:cs="Arial"/>
        </w:rPr>
        <w:t xml:space="preserve">, </w:t>
      </w:r>
      <w:r w:rsidR="00B603A2">
        <w:rPr>
          <w:rFonts w:ascii="Palatino Linotype" w:hAnsi="Palatino Linotype" w:cs="Arial"/>
        </w:rPr>
        <w:t>P</w:t>
      </w:r>
      <w:r w:rsidR="0029569F">
        <w:rPr>
          <w:rFonts w:ascii="Palatino Linotype" w:hAnsi="Palatino Linotype" w:cs="Arial"/>
        </w:rPr>
        <w:t xml:space="preserve">resupuesto de </w:t>
      </w:r>
      <w:r w:rsidR="00B603A2">
        <w:rPr>
          <w:rFonts w:ascii="Palatino Linotype" w:hAnsi="Palatino Linotype" w:cs="Arial"/>
        </w:rPr>
        <w:t>E</w:t>
      </w:r>
      <w:r w:rsidR="0029569F" w:rsidRPr="0032313D">
        <w:rPr>
          <w:rFonts w:ascii="Palatino Linotype" w:hAnsi="Palatino Linotype" w:cs="Arial"/>
        </w:rPr>
        <w:t>gresos,</w:t>
      </w:r>
      <w:r w:rsidR="00B603A2">
        <w:rPr>
          <w:rFonts w:ascii="Palatino Linotype" w:hAnsi="Palatino Linotype" w:cs="Arial"/>
        </w:rPr>
        <w:t xml:space="preserve"> Programa Operativo A</w:t>
      </w:r>
      <w:r w:rsidR="0032313D" w:rsidRPr="0032313D">
        <w:rPr>
          <w:rFonts w:ascii="Palatino Linotype" w:hAnsi="Palatino Linotype" w:cs="Arial"/>
        </w:rPr>
        <w:t>nual,</w:t>
      </w:r>
      <w:r w:rsidR="0029569F" w:rsidRPr="0032313D">
        <w:rPr>
          <w:rFonts w:ascii="Palatino Linotype" w:hAnsi="Palatino Linotype" w:cs="Arial"/>
        </w:rPr>
        <w:t xml:space="preserve"> </w:t>
      </w:r>
      <w:r w:rsidRPr="0032313D">
        <w:rPr>
          <w:rFonts w:ascii="Palatino Linotype" w:hAnsi="Palatino Linotype" w:cs="Arial"/>
        </w:rPr>
        <w:t>documentos con los cuales pretende soportar sus respuestas</w:t>
      </w:r>
      <w:r w:rsidR="0032313D" w:rsidRPr="0032313D">
        <w:rPr>
          <w:rFonts w:ascii="Palatino Linotype" w:hAnsi="Palatino Linotype" w:cs="Arial"/>
        </w:rPr>
        <w:t>, además de comprobar que el CUSAEM no forma parte de su estructura</w:t>
      </w:r>
      <w:r w:rsidRPr="0032313D">
        <w:rPr>
          <w:rFonts w:ascii="Palatino Linotype" w:hAnsi="Palatino Linotype" w:cs="Arial"/>
        </w:rPr>
        <w:t>.</w:t>
      </w:r>
    </w:p>
    <w:p w:rsidR="00D76183" w:rsidRPr="004E4E3E" w:rsidRDefault="00D76183" w:rsidP="00D76183">
      <w:pPr>
        <w:pStyle w:val="Prrafodelista"/>
        <w:rPr>
          <w:rFonts w:ascii="Palatino Linotype" w:hAnsi="Palatino Linotype" w:cs="Arial"/>
          <w:sz w:val="16"/>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 </w:t>
      </w:r>
      <w:r w:rsidRPr="00A8303A">
        <w:rPr>
          <w:rFonts w:ascii="Palatino Linotype" w:hAnsi="Palatino Linotype" w:cs="Arial"/>
        </w:rPr>
        <w:t xml:space="preserve">Por tratarse de documentales públicas, rendidas por el </w:t>
      </w:r>
      <w:r w:rsidRPr="00A8303A">
        <w:rPr>
          <w:rFonts w:ascii="Palatino Linotype" w:hAnsi="Palatino Linotype" w:cs="Arial"/>
          <w:b/>
        </w:rPr>
        <w:t>SUJETO OBLIGADO</w:t>
      </w:r>
      <w:r w:rsidRPr="00A8303A">
        <w:rPr>
          <w:rFonts w:ascii="Palatino Linotype" w:hAnsi="Palatino Linotype" w:cs="Arial"/>
        </w:rPr>
        <w:t xml:space="preserve">, </w:t>
      </w:r>
      <w:r>
        <w:rPr>
          <w:rFonts w:ascii="Palatino Linotype" w:hAnsi="Palatino Linotype" w:cs="Arial"/>
        </w:rPr>
        <w:t xml:space="preserve">deben </w:t>
      </w:r>
      <w:r w:rsidRPr="00A8303A">
        <w:rPr>
          <w:rFonts w:ascii="Palatino Linotype" w:hAnsi="Palatino Linotype" w:cs="Arial"/>
        </w:rPr>
        <w:t>acepta</w:t>
      </w:r>
      <w:r>
        <w:rPr>
          <w:rFonts w:ascii="Palatino Linotype" w:hAnsi="Palatino Linotype" w:cs="Arial"/>
        </w:rPr>
        <w:t>rse</w:t>
      </w:r>
      <w:r w:rsidRPr="00A8303A">
        <w:rPr>
          <w:rFonts w:ascii="Palatino Linotype" w:hAnsi="Palatino Linotype" w:cs="Arial"/>
        </w:rPr>
        <w:t xml:space="preserve"> en todos sus términos y no pone</w:t>
      </w:r>
      <w:r>
        <w:rPr>
          <w:rFonts w:ascii="Palatino Linotype" w:hAnsi="Palatino Linotype" w:cs="Arial"/>
        </w:rPr>
        <w:t>r</w:t>
      </w:r>
      <w:r w:rsidRPr="00A8303A">
        <w:rPr>
          <w:rFonts w:ascii="Palatino Linotype" w:hAnsi="Palatino Linotype" w:cs="Arial"/>
        </w:rPr>
        <w:t xml:space="preserve"> en tela de duda su veracidad, siguiendo el Criterio número 31/10 del en ese entonces Instituto Federal de Acceso a la Información Y Protección de Datos, ahora Instituto Nacional de Transparencia, Acceso a la Información Pública y Protección de Datos Personales.</w:t>
      </w:r>
      <w:r w:rsidRPr="00B36ACE">
        <w:rPr>
          <w:vertAlign w:val="superscript"/>
        </w:rPr>
        <w:footnoteReference w:id="7"/>
      </w:r>
    </w:p>
    <w:p w:rsidR="00D76183" w:rsidRPr="009B0BD7" w:rsidRDefault="00D76183" w:rsidP="00D76183">
      <w:pPr>
        <w:pStyle w:val="Prrafodelista"/>
        <w:rPr>
          <w:rFonts w:ascii="Palatino Linotype" w:hAnsi="Palatino Linotype" w:cs="Arial"/>
          <w:sz w:val="32"/>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 </w:t>
      </w:r>
      <w:r w:rsidRPr="00A8303A">
        <w:rPr>
          <w:rFonts w:ascii="Palatino Linotype" w:hAnsi="Palatino Linotype" w:cs="Arial"/>
        </w:rPr>
        <w:t>Sin dudar de la veracidad de la información</w:t>
      </w:r>
      <w:r>
        <w:rPr>
          <w:rFonts w:ascii="Palatino Linotype" w:hAnsi="Palatino Linotype" w:cs="Arial"/>
        </w:rPr>
        <w:t>, si debo</w:t>
      </w:r>
      <w:r w:rsidRPr="00A8303A">
        <w:rPr>
          <w:rFonts w:ascii="Palatino Linotype" w:hAnsi="Palatino Linotype" w:cs="Arial"/>
        </w:rPr>
        <w:t xml:space="preserve"> </w:t>
      </w:r>
      <w:r w:rsidR="0032313D">
        <w:rPr>
          <w:rFonts w:ascii="Palatino Linotype" w:hAnsi="Palatino Linotype" w:cs="Arial"/>
        </w:rPr>
        <w:t>s</w:t>
      </w:r>
      <w:r w:rsidRPr="00A8303A">
        <w:rPr>
          <w:rFonts w:ascii="Palatino Linotype" w:hAnsi="Palatino Linotype" w:cs="Arial"/>
        </w:rPr>
        <w:t xml:space="preserve">eñalar el mandato expreso de la reforma constitucional federal en materia de transparencia de 2014 que en el artículo sexto determinó la obligación de todos los sujetos obligados de documentar todas sus decisiones relacionadas con el ejercicio de sus facultades, competencias o funciones, lo cual además se reguló posteriormente en el artículo 18 de la Ley General de Transparencia y Acceso a la Información Pública. En el caso en cuestión ha quedado acreditado que existe una fuente de atribuciones clara e ineludible y de la respuesta aportada por el </w:t>
      </w:r>
      <w:r w:rsidRPr="00A8303A">
        <w:rPr>
          <w:rFonts w:ascii="Palatino Linotype" w:hAnsi="Palatino Linotype" w:cs="Arial"/>
          <w:b/>
        </w:rPr>
        <w:t>SUJETO OBLIGADO</w:t>
      </w:r>
      <w:r w:rsidRPr="00A8303A">
        <w:rPr>
          <w:rFonts w:ascii="Palatino Linotype" w:hAnsi="Palatino Linotype" w:cs="Arial"/>
        </w:rPr>
        <w:t xml:space="preserve"> se aprecia la posible actualización de cualquiera de los siguientes supuestos: que se realizó una búsqueda inadecuada de la información, que indebidamente se niega el acceso a la información existente al respecto o que posiblemente la autoridad declinó el ejercicio obligatorio de facultades legalmente establecidas.</w:t>
      </w:r>
    </w:p>
    <w:p w:rsidR="00D76183" w:rsidRPr="009B0BD7" w:rsidRDefault="00D76183" w:rsidP="00D76183">
      <w:pPr>
        <w:pStyle w:val="Prrafodelista"/>
        <w:rPr>
          <w:rFonts w:ascii="Palatino Linotype" w:hAnsi="Palatino Linotype" w:cs="Arial"/>
          <w:sz w:val="32"/>
        </w:rPr>
      </w:pPr>
    </w:p>
    <w:p w:rsidR="00D76183"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 </w:t>
      </w:r>
      <w:r w:rsidRPr="00A8303A">
        <w:rPr>
          <w:rFonts w:ascii="Palatino Linotype" w:hAnsi="Palatino Linotype" w:cs="Arial"/>
        </w:rPr>
        <w:t xml:space="preserve">A diferencia de otros casos, en el que se resuelve no se trata de hechos inexistentes, mal llamados negativos, sino que se trata de hechos que han ocurrido y que no han sido negados por el </w:t>
      </w:r>
      <w:r w:rsidRPr="00A8303A">
        <w:rPr>
          <w:rFonts w:ascii="Palatino Linotype" w:hAnsi="Palatino Linotype" w:cs="Arial"/>
          <w:b/>
          <w:caps/>
        </w:rPr>
        <w:t>Sujeto Obligado</w:t>
      </w:r>
      <w:r w:rsidRPr="00A8303A">
        <w:rPr>
          <w:rFonts w:ascii="Palatino Linotype" w:hAnsi="Palatino Linotype" w:cs="Arial"/>
        </w:rPr>
        <w:t xml:space="preserve"> que ha reconocido la existencia del organismo en cuestión y cuya respuesta deficiente sólo puede explicarse por el interés de negar el acceso a la información, la deficiente búsqueda de la información o el incumplimiento de adoptar acciones que se desprenden de sus </w:t>
      </w:r>
      <w:r w:rsidRPr="00A8303A">
        <w:rPr>
          <w:rFonts w:ascii="Palatino Linotype" w:hAnsi="Palatino Linotype" w:cs="Arial"/>
        </w:rPr>
        <w:lastRenderedPageBreak/>
        <w:t>facultades, atribuciones y funciones y que, en consecuencia, debieron de haberse documentado.</w:t>
      </w:r>
    </w:p>
    <w:p w:rsidR="00D76183" w:rsidRPr="009B0BD7" w:rsidRDefault="00D76183" w:rsidP="004E4E3E">
      <w:pPr>
        <w:pStyle w:val="Prrafodelista"/>
        <w:rPr>
          <w:rFonts w:ascii="Palatino Linotype" w:hAnsi="Palatino Linotype" w:cs="Arial"/>
          <w:sz w:val="32"/>
        </w:rPr>
      </w:pPr>
    </w:p>
    <w:p w:rsidR="007C7FC0"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sidRPr="007C7FC0">
        <w:rPr>
          <w:rFonts w:ascii="Palatino Linotype" w:hAnsi="Palatino Linotype" w:cs="Arial"/>
        </w:rPr>
        <w:t xml:space="preserve"> Tratándose de una búsqueda deficiente, ésta debe de repararse realizando una nueva de manera exhaustiva para estar en condiciones de entregar la información requerida.</w:t>
      </w:r>
      <w:r>
        <w:rPr>
          <w:rStyle w:val="Refdenotaalpie"/>
          <w:rFonts w:ascii="Palatino Linotype" w:hAnsi="Palatino Linotype" w:cs="Arial"/>
        </w:rPr>
        <w:footnoteReference w:id="8"/>
      </w:r>
      <w:r w:rsidRPr="007C7FC0">
        <w:rPr>
          <w:rFonts w:ascii="Palatino Linotype" w:hAnsi="Palatino Linotype" w:cs="Arial"/>
        </w:rPr>
        <w:t xml:space="preserve"> Si el caso en cuestión consiste en un intento injustificado de negar el acceso a información existente, ello debe de ser corregido para cumplir el estándar interamericano de protección al derecho humano de acceso a la información pública.</w:t>
      </w:r>
      <w:r>
        <w:rPr>
          <w:rStyle w:val="Refdenotaalpie"/>
          <w:rFonts w:ascii="Palatino Linotype" w:hAnsi="Palatino Linotype" w:cs="Arial"/>
        </w:rPr>
        <w:footnoteReference w:id="9"/>
      </w:r>
    </w:p>
    <w:p w:rsidR="007C7FC0" w:rsidRPr="00C43352" w:rsidRDefault="007C7FC0" w:rsidP="007C7FC0">
      <w:pPr>
        <w:pStyle w:val="Prrafodelista"/>
        <w:rPr>
          <w:rFonts w:ascii="Palatino Linotype" w:hAnsi="Palatino Linotype" w:cs="Arial"/>
          <w:sz w:val="32"/>
        </w:rPr>
      </w:pPr>
    </w:p>
    <w:p w:rsidR="00D76183" w:rsidRDefault="004E4E3E"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sidRPr="007C7FC0">
        <w:rPr>
          <w:rFonts w:ascii="Palatino Linotype" w:hAnsi="Palatino Linotype" w:cs="Arial"/>
        </w:rPr>
        <w:t>C</w:t>
      </w:r>
      <w:r w:rsidR="00D76183" w:rsidRPr="007C7FC0">
        <w:rPr>
          <w:rFonts w:ascii="Palatino Linotype" w:hAnsi="Palatino Linotype" w:cs="Arial"/>
        </w:rPr>
        <w:t>omo consecuencia de las disposiciones legales contenidas en la Ley General de Transparencia y Acceso a la Información Pública, es que existe el mandato expreso de que en estos casos, de no existir la documentación que debió, por mandato de ley, generarse, es obligación de la autoridad emitir una declaratoria formal que debe reunir los requisitos señalados en la propia norma jurídica,</w:t>
      </w:r>
      <w:r w:rsidR="00D76183" w:rsidRPr="007C7FC0">
        <w:rPr>
          <w:rStyle w:val="Refdenotaalpie"/>
          <w:rFonts w:ascii="Palatino Linotype" w:hAnsi="Palatino Linotype" w:cs="Arial"/>
        </w:rPr>
        <w:t xml:space="preserve"> </w:t>
      </w:r>
      <w:r w:rsidR="00D76183">
        <w:rPr>
          <w:rStyle w:val="Refdenotaalpie"/>
          <w:rFonts w:ascii="Palatino Linotype" w:hAnsi="Palatino Linotype" w:cs="Arial"/>
        </w:rPr>
        <w:footnoteReference w:id="10"/>
      </w:r>
      <w:r w:rsidR="00D76183" w:rsidRPr="007C7FC0">
        <w:rPr>
          <w:rFonts w:ascii="Palatino Linotype" w:hAnsi="Palatino Linotype" w:cs="Arial"/>
        </w:rPr>
        <w:t xml:space="preserve"> según puede apreciarse a continuación:</w:t>
      </w:r>
    </w:p>
    <w:p w:rsidR="009B0BD7" w:rsidRPr="009B0BD7" w:rsidRDefault="009B0BD7" w:rsidP="009B0BD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sz w:val="16"/>
        </w:rPr>
      </w:pPr>
    </w:p>
    <w:p w:rsidR="00D76183" w:rsidRPr="00BC3499" w:rsidRDefault="00D76183" w:rsidP="00BC3499">
      <w:pPr>
        <w:tabs>
          <w:tab w:val="left" w:pos="8222"/>
        </w:tabs>
        <w:spacing w:before="240" w:after="240" w:line="276" w:lineRule="auto"/>
        <w:ind w:left="567" w:right="616"/>
        <w:jc w:val="both"/>
        <w:rPr>
          <w:rFonts w:ascii="Palatino Linotype" w:hAnsi="Palatino Linotype" w:cs="Arial"/>
          <w:i/>
          <w:sz w:val="22"/>
        </w:rPr>
      </w:pPr>
      <w:r w:rsidRPr="00BC3499">
        <w:rPr>
          <w:rFonts w:ascii="Palatino Linotype" w:hAnsi="Palatino Linotype" w:cs="Arial"/>
          <w:i/>
          <w:sz w:val="22"/>
        </w:rPr>
        <w:lastRenderedPageBreak/>
        <w:t>Artículo 19. Se presume que la información debe existir si se refiere a las facultades, competencias y funciones que los ordenamientos jurídicos aplicables otorgan a los sujetos obligados.</w:t>
      </w:r>
    </w:p>
    <w:p w:rsidR="00D76183" w:rsidRPr="00BC3499" w:rsidRDefault="00D76183" w:rsidP="00BC3499">
      <w:pPr>
        <w:tabs>
          <w:tab w:val="left" w:pos="8222"/>
        </w:tabs>
        <w:spacing w:before="240" w:after="240" w:line="276" w:lineRule="auto"/>
        <w:ind w:left="567" w:right="616"/>
        <w:jc w:val="both"/>
        <w:rPr>
          <w:rFonts w:ascii="Palatino Linotype" w:hAnsi="Palatino Linotype" w:cs="Arial"/>
          <w:i/>
          <w:sz w:val="22"/>
        </w:rPr>
      </w:pPr>
      <w:r w:rsidRPr="00BC3499">
        <w:rPr>
          <w:rFonts w:ascii="Palatino Linotype" w:hAnsi="Palatino Linotype" w:cs="Arial"/>
          <w:i/>
          <w:sz w:val="22"/>
        </w:rPr>
        <w:t>En los casos en que ciertas facultades, competencias o funciones no se hayan ejercido, se debe motivar la respuesta en función de las causas que motiven la inexistencia.</w:t>
      </w:r>
    </w:p>
    <w:p w:rsidR="00D76183" w:rsidRDefault="00D76183" w:rsidP="00BC3499">
      <w:pPr>
        <w:tabs>
          <w:tab w:val="left" w:pos="8222"/>
        </w:tabs>
        <w:spacing w:before="240" w:after="240" w:line="276" w:lineRule="auto"/>
        <w:ind w:left="567" w:right="616"/>
        <w:jc w:val="both"/>
        <w:rPr>
          <w:rFonts w:ascii="Palatino Linotype" w:hAnsi="Palatino Linotype" w:cs="Arial"/>
          <w:i/>
          <w:sz w:val="22"/>
        </w:rPr>
      </w:pPr>
      <w:r w:rsidRPr="00BC3499">
        <w:rPr>
          <w:rFonts w:ascii="Palatino Linotype" w:hAnsi="Palatino Linotype" w:cs="Arial"/>
          <w:i/>
          <w:sz w:val="22"/>
        </w:rPr>
        <w:t>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9B0BD7" w:rsidRPr="009B0BD7" w:rsidRDefault="009B0BD7" w:rsidP="00BC3499">
      <w:pPr>
        <w:tabs>
          <w:tab w:val="left" w:pos="8222"/>
        </w:tabs>
        <w:spacing w:before="240" w:after="240" w:line="276" w:lineRule="auto"/>
        <w:ind w:left="567" w:right="616"/>
        <w:jc w:val="both"/>
        <w:rPr>
          <w:rFonts w:ascii="Palatino Linotype" w:hAnsi="Palatino Linotype" w:cs="Arial"/>
          <w:i/>
          <w:sz w:val="6"/>
        </w:rPr>
      </w:pPr>
    </w:p>
    <w:p w:rsidR="00D76183" w:rsidRDefault="001B364B"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noProof/>
          <w:bdr w:val="none" w:sz="0" w:space="0" w:color="auto"/>
          <w:lang w:eastAsia="es-MX"/>
        </w:rPr>
        <mc:AlternateContent>
          <mc:Choice Requires="wps">
            <w:drawing>
              <wp:anchor distT="0" distB="0" distL="114300" distR="114300" simplePos="0" relativeHeight="251661312" behindDoc="0" locked="0" layoutInCell="1" allowOverlap="1">
                <wp:simplePos x="0" y="0"/>
                <wp:positionH relativeFrom="column">
                  <wp:posOffset>110489</wp:posOffset>
                </wp:positionH>
                <wp:positionV relativeFrom="paragraph">
                  <wp:posOffset>3044824</wp:posOffset>
                </wp:positionV>
                <wp:extent cx="5553075" cy="2047875"/>
                <wp:effectExtent l="0" t="0" r="28575" b="28575"/>
                <wp:wrapNone/>
                <wp:docPr id="7" name="Conector recto 7"/>
                <wp:cNvGraphicFramePr/>
                <a:graphic xmlns:a="http://schemas.openxmlformats.org/drawingml/2006/main">
                  <a:graphicData uri="http://schemas.microsoft.com/office/word/2010/wordprocessingShape">
                    <wps:wsp>
                      <wps:cNvCnPr/>
                      <wps:spPr>
                        <a:xfrm>
                          <a:off x="0" y="0"/>
                          <a:ext cx="5553075" cy="2047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06C022" id="Conector recto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7pt,239.75pt" to="445.9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" strokecolor="black [3200]" strokeweight=".5pt">
                <v:stroke joinstyle="miter"/>
              </v:line>
            </w:pict>
          </mc:Fallback>
        </mc:AlternateContent>
      </w:r>
      <w:r w:rsidR="00D76183">
        <w:rPr>
          <w:rFonts w:ascii="Palatino Linotype" w:hAnsi="Palatino Linotype" w:cs="Arial"/>
        </w:rPr>
        <w:t xml:space="preserve"> </w:t>
      </w:r>
      <w:r w:rsidR="0011671C">
        <w:rPr>
          <w:rFonts w:ascii="Palatino Linotype" w:hAnsi="Palatino Linotype" w:cs="Arial"/>
        </w:rPr>
        <w:t>A</w:t>
      </w:r>
      <w:r w:rsidR="00D76183">
        <w:rPr>
          <w:rFonts w:ascii="Palatino Linotype" w:hAnsi="Palatino Linotype" w:cs="Arial"/>
        </w:rPr>
        <w:t xml:space="preserve">demás que una de las propiedades o características de la información pública es precisamente su condición de verificabilidad, pero que eso no depende de este Órgano Garante, sino de las propias personas, es que dicha declaratoria es </w:t>
      </w:r>
      <w:r w:rsidR="0029569F">
        <w:rPr>
          <w:rFonts w:ascii="Palatino Linotype" w:hAnsi="Palatino Linotype" w:cs="Arial"/>
        </w:rPr>
        <w:t xml:space="preserve">un medio al que debe acceder la </w:t>
      </w:r>
      <w:r w:rsidR="00C43352">
        <w:rPr>
          <w:rFonts w:ascii="Palatino Linotype" w:hAnsi="Palatino Linotype" w:cs="Arial"/>
        </w:rPr>
        <w:t>particular</w:t>
      </w:r>
      <w:r w:rsidR="007527C4">
        <w:rPr>
          <w:rFonts w:ascii="Palatino Linotype" w:hAnsi="Palatino Linotype" w:cs="Arial"/>
          <w:b/>
        </w:rPr>
        <w:t xml:space="preserve"> </w:t>
      </w:r>
      <w:r w:rsidR="00D76183">
        <w:rPr>
          <w:rFonts w:ascii="Palatino Linotype" w:hAnsi="Palatino Linotype" w:cs="Arial"/>
        </w:rPr>
        <w:t>de tal forma que el derecho de acceso a la información se constituya en un derecho que, en su caso, facilite el ejercicio de otros derechos, entre ellos el de opinar sobre los asuntos públicos tanto como el de iniciar los mecanismos de control correspondientes sobre la actuación de los agentes del Estado si, desde su punto de vista, se considere que se hayan incumplido obligaciones legales o se simulen actos jurídicos, todo ello materia de otro tipo de procedimientos legales.</w:t>
      </w:r>
    </w:p>
    <w:p w:rsidR="000E196F" w:rsidRDefault="000E196F" w:rsidP="000E196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p>
    <w:p w:rsidR="001B364B" w:rsidRDefault="001B364B" w:rsidP="000E196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p>
    <w:p w:rsidR="000E196F" w:rsidRDefault="000E196F" w:rsidP="000E196F">
      <w:pPr>
        <w:pStyle w:val="Ttulo2"/>
        <w:rPr>
          <w:rFonts w:ascii="Palatino Linotype" w:hAnsi="Palatino Linotype"/>
          <w:b/>
          <w:color w:val="000000" w:themeColor="text1"/>
          <w:sz w:val="24"/>
        </w:rPr>
      </w:pPr>
      <w:bookmarkStart w:id="7" w:name="_Toc1405973"/>
      <w:r w:rsidRPr="000E196F">
        <w:rPr>
          <w:rFonts w:ascii="Palatino Linotype" w:hAnsi="Palatino Linotype"/>
          <w:b/>
          <w:color w:val="000000" w:themeColor="text1"/>
          <w:sz w:val="24"/>
        </w:rPr>
        <w:lastRenderedPageBreak/>
        <w:t>VII</w:t>
      </w:r>
      <w:r w:rsidR="001B364B">
        <w:rPr>
          <w:rFonts w:ascii="Palatino Linotype" w:hAnsi="Palatino Linotype"/>
          <w:b/>
          <w:color w:val="000000" w:themeColor="text1"/>
          <w:sz w:val="24"/>
        </w:rPr>
        <w:t>I</w:t>
      </w:r>
      <w:r w:rsidRPr="000E196F">
        <w:rPr>
          <w:rFonts w:ascii="Palatino Linotype" w:hAnsi="Palatino Linotype"/>
          <w:b/>
          <w:color w:val="000000" w:themeColor="text1"/>
          <w:sz w:val="24"/>
        </w:rPr>
        <w:t>. El derecho de acceso a la información y la corrupción</w:t>
      </w:r>
      <w:bookmarkEnd w:id="7"/>
    </w:p>
    <w:p w:rsidR="000E196F" w:rsidRDefault="000E196F" w:rsidP="000E196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p>
    <w:p w:rsidR="000E196F" w:rsidRPr="000E196F" w:rsidRDefault="000E196F"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sidRPr="002574A5">
        <w:rPr>
          <w:rFonts w:ascii="Palatino Linotype" w:eastAsia="Times New Roman" w:hAnsi="Palatino Linotype"/>
          <w:lang w:val="es-ES_tradnl" w:eastAsia="es-E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rsidR="000E196F" w:rsidRPr="000E196F" w:rsidRDefault="000E196F" w:rsidP="000E196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p>
    <w:p w:rsidR="000E196F" w:rsidRPr="00132880" w:rsidRDefault="000E196F"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eastAsia="Times New Roman" w:hAnsi="Palatino Linotype"/>
          <w:lang w:val="es-ES_tradnl" w:eastAsia="es-ES"/>
        </w:rPr>
        <w:t>En ese entendido, la transparencia y el acceso a la información pública gubernamental son herramientas que deben ser puestas a disposición de los particulares, para que a través de los mecanismos y limites que establecen las reglas y los principios contenidos en nuestra Carta Magna</w:t>
      </w:r>
      <w:r w:rsidR="00132880">
        <w:rPr>
          <w:rFonts w:ascii="Palatino Linotype" w:eastAsia="Times New Roman" w:hAnsi="Palatino Linotype"/>
          <w:lang w:val="es-ES_tradnl" w:eastAsia="es-ES"/>
        </w:rPr>
        <w:t xml:space="preserve"> y la legislación respetiva contribuyan a disuadir la corrupción y ponerla en evidencia, a fin de generar espacios para la generación de una democracia esencialmente deliberativa.</w:t>
      </w:r>
      <w:r w:rsidR="0089424A">
        <w:rPr>
          <w:rStyle w:val="Refdenotaalpie"/>
          <w:rFonts w:ascii="Palatino Linotype" w:eastAsia="Times New Roman" w:hAnsi="Palatino Linotype"/>
          <w:lang w:val="es-ES_tradnl" w:eastAsia="es-ES"/>
        </w:rPr>
        <w:footnoteReference w:id="11"/>
      </w:r>
    </w:p>
    <w:p w:rsidR="00132880" w:rsidRPr="00132880" w:rsidRDefault="00132880" w:rsidP="0013288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p>
    <w:p w:rsidR="00132880" w:rsidRDefault="00132880"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t xml:space="preserve"> La corrupción hoy en día representa un problema complejo, con el cual la ciudadanía lucha constantemente, generando múltiples enfoques que van desde lo social, cultural hasta lo económico y lo político, razón por la cual la ciudadanía se ha planteado en múltiples ocasiones mecanismos para combatirla.</w:t>
      </w:r>
    </w:p>
    <w:p w:rsidR="00132880" w:rsidRDefault="00132880" w:rsidP="0013288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p>
    <w:p w:rsidR="00132880" w:rsidRDefault="00132880"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r>
        <w:rPr>
          <w:rFonts w:ascii="Palatino Linotype" w:hAnsi="Palatino Linotype" w:cs="Arial"/>
        </w:rPr>
        <w:lastRenderedPageBreak/>
        <w:t xml:space="preserve">Sin embargo, como se </w:t>
      </w:r>
      <w:r w:rsidR="0058505D">
        <w:rPr>
          <w:rFonts w:ascii="Palatino Linotype" w:hAnsi="Palatino Linotype" w:cs="Arial"/>
        </w:rPr>
        <w:t>desprende del análisis a</w:t>
      </w:r>
      <w:r>
        <w:rPr>
          <w:rFonts w:ascii="Palatino Linotype" w:hAnsi="Palatino Linotype" w:cs="Arial"/>
        </w:rPr>
        <w:t xml:space="preserve"> este asunto, se deja en evidencia</w:t>
      </w:r>
      <w:r w:rsidR="0058505D">
        <w:rPr>
          <w:rFonts w:ascii="Palatino Linotype" w:hAnsi="Palatino Linotype" w:cs="Arial"/>
        </w:rPr>
        <w:t xml:space="preserve"> dos cuestiones</w:t>
      </w:r>
      <w:r>
        <w:rPr>
          <w:rFonts w:ascii="Palatino Linotype" w:hAnsi="Palatino Linotype" w:cs="Arial"/>
        </w:rPr>
        <w:t>; por un lado, la falta de regulación que existen de diversos organismos a quienes el Estado delega parte de sus funciones; y, por el otro, la falta de tutela del derecho de acceso a la información pública que los Sujetos Obligados estamos constreñidos a garantizar.</w:t>
      </w:r>
    </w:p>
    <w:p w:rsidR="00132880" w:rsidRDefault="00132880" w:rsidP="0013288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rPr>
          <w:rFonts w:ascii="Palatino Linotype" w:hAnsi="Palatino Linotype" w:cs="Arial"/>
        </w:rPr>
      </w:pPr>
    </w:p>
    <w:p w:rsidR="000E196F" w:rsidRDefault="0058505D" w:rsidP="000E196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142"/>
        <w:jc w:val="both"/>
      </w:pPr>
      <w:r w:rsidRPr="0089424A">
        <w:rPr>
          <w:rFonts w:ascii="Palatino Linotype" w:hAnsi="Palatino Linotype" w:cs="Arial"/>
        </w:rPr>
        <w:t>Esto es así, por la evidente e incluso deliberada actuación de los servidores públicos y de los protectores del derecho, en nuestro caso; de los primeros, al no manifestar en las cuentas públicas los ingresos que los organismos como el CUSAEM reciben; y, en los segundos, por resolver perdiendo de vista el garantizar, proteger, o en su caso restituir</w:t>
      </w:r>
      <w:r w:rsidR="0089424A" w:rsidRPr="0089424A">
        <w:rPr>
          <w:rFonts w:ascii="Palatino Linotype" w:hAnsi="Palatino Linotype" w:cs="Arial"/>
        </w:rPr>
        <w:t xml:space="preserve"> el derecho de acceso a la información vulnerado por determinaciones como lo es la resolución aprobada por la mayoría de los integrantes del Pleno de este Órgano Garante respecto del recurso de revisión en cuestión.</w:t>
      </w:r>
    </w:p>
    <w:p w:rsidR="000E196F" w:rsidRPr="000E196F" w:rsidRDefault="000E196F" w:rsidP="000E196F"/>
    <w:p w:rsidR="00D76183" w:rsidRDefault="001B364B" w:rsidP="00C7654F">
      <w:pPr>
        <w:pStyle w:val="Ttulo1"/>
      </w:pPr>
      <w:bookmarkStart w:id="8" w:name="_Toc454206823"/>
      <w:bookmarkStart w:id="9" w:name="_Toc1405974"/>
      <w:r>
        <w:t>IX</w:t>
      </w:r>
      <w:r w:rsidR="00D76183" w:rsidRPr="00310096">
        <w:t>. Conclusión.</w:t>
      </w:r>
      <w:bookmarkEnd w:id="8"/>
      <w:bookmarkEnd w:id="9"/>
    </w:p>
    <w:p w:rsidR="009B0BD7" w:rsidRDefault="009B0BD7" w:rsidP="009B0BD7"/>
    <w:p w:rsidR="009B0BD7" w:rsidRPr="009B0BD7" w:rsidRDefault="009B0BD7" w:rsidP="009B0BD7">
      <w:pPr>
        <w:rPr>
          <w:sz w:val="20"/>
        </w:rPr>
      </w:pPr>
    </w:p>
    <w:p w:rsidR="007C7FC0" w:rsidRPr="007C7FC0" w:rsidRDefault="007C7FC0" w:rsidP="007C7FC0"/>
    <w:p w:rsidR="0089424A" w:rsidRDefault="00D76183" w:rsidP="00D7618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r w:rsidRPr="00826999">
        <w:rPr>
          <w:rFonts w:ascii="Palatino Linotype" w:hAnsi="Palatino Linotype" w:cs="Arial"/>
        </w:rPr>
        <w:t xml:space="preserve"> </w:t>
      </w:r>
      <w:r>
        <w:rPr>
          <w:rFonts w:ascii="Palatino Linotype" w:hAnsi="Palatino Linotype" w:cs="Arial"/>
        </w:rPr>
        <w:t>E</w:t>
      </w:r>
      <w:r w:rsidRPr="00826999">
        <w:rPr>
          <w:rFonts w:ascii="Palatino Linotype" w:hAnsi="Palatino Linotype" w:cs="Arial"/>
        </w:rPr>
        <w:t xml:space="preserve">n razón a las consideraciones antes </w:t>
      </w:r>
      <w:r w:rsidR="0011671C">
        <w:rPr>
          <w:rFonts w:ascii="Palatino Linotype" w:hAnsi="Palatino Linotype" w:cs="Arial"/>
        </w:rPr>
        <w:t xml:space="preserve">señaladas, si bien se determinó </w:t>
      </w:r>
      <w:r w:rsidR="0011671C" w:rsidRPr="0011671C">
        <w:rPr>
          <w:rFonts w:ascii="Palatino Linotype" w:hAnsi="Palatino Linotype" w:cs="Arial"/>
          <w:b/>
        </w:rPr>
        <w:t>REVOCAR</w:t>
      </w:r>
      <w:r w:rsidR="0011671C">
        <w:rPr>
          <w:rFonts w:ascii="Palatino Linotype" w:hAnsi="Palatino Linotype" w:cs="Arial"/>
        </w:rPr>
        <w:t xml:space="preserve"> la respuesta emitida por el </w:t>
      </w:r>
      <w:r w:rsidR="0011671C" w:rsidRPr="0011671C">
        <w:rPr>
          <w:rFonts w:ascii="Palatino Linotype" w:hAnsi="Palatino Linotype" w:cs="Arial"/>
          <w:b/>
        </w:rPr>
        <w:t>SUJETO OBLIGADO</w:t>
      </w:r>
      <w:r w:rsidR="0011671C">
        <w:rPr>
          <w:rFonts w:ascii="Palatino Linotype" w:hAnsi="Palatino Linotype" w:cs="Arial"/>
        </w:rPr>
        <w:t xml:space="preserve">, </w:t>
      </w:r>
      <w:r w:rsidRPr="00826999">
        <w:rPr>
          <w:rFonts w:ascii="Palatino Linotype" w:hAnsi="Palatino Linotype" w:cs="Arial"/>
        </w:rPr>
        <w:t xml:space="preserve">no puedo compartir el </w:t>
      </w:r>
      <w:r w:rsidR="00797D39">
        <w:rPr>
          <w:rFonts w:ascii="Palatino Linotype" w:hAnsi="Palatino Linotype" w:cs="Arial"/>
        </w:rPr>
        <w:t xml:space="preserve">sentido de otorgar </w:t>
      </w:r>
      <w:r w:rsidR="0011671C">
        <w:rPr>
          <w:rFonts w:ascii="Palatino Linotype" w:hAnsi="Palatino Linotype" w:cs="Arial"/>
        </w:rPr>
        <w:t xml:space="preserve">un simple pronunciamiento </w:t>
      </w:r>
      <w:r w:rsidR="0089424A">
        <w:rPr>
          <w:rFonts w:ascii="Palatino Linotype" w:hAnsi="Palatino Linotype" w:cs="Arial"/>
        </w:rPr>
        <w:t xml:space="preserve">de la autoridad, </w:t>
      </w:r>
      <w:r w:rsidR="00797D39">
        <w:rPr>
          <w:rFonts w:ascii="Palatino Linotype" w:hAnsi="Palatino Linotype" w:cs="Arial"/>
        </w:rPr>
        <w:t xml:space="preserve">en </w:t>
      </w:r>
      <w:r w:rsidR="0011671C">
        <w:rPr>
          <w:rFonts w:ascii="Palatino Linotype" w:hAnsi="Palatino Linotype" w:cs="Arial"/>
        </w:rPr>
        <w:t>caso de que no ten</w:t>
      </w:r>
      <w:r w:rsidR="00797D39">
        <w:rPr>
          <w:rFonts w:ascii="Palatino Linotype" w:hAnsi="Palatino Linotype" w:cs="Arial"/>
        </w:rPr>
        <w:t>er</w:t>
      </w:r>
      <w:r w:rsidR="0011671C">
        <w:rPr>
          <w:rFonts w:ascii="Palatino Linotype" w:hAnsi="Palatino Linotype" w:cs="Arial"/>
        </w:rPr>
        <w:t xml:space="preserve"> la información solicitada, </w:t>
      </w:r>
      <w:r w:rsidR="00797D39">
        <w:rPr>
          <w:rFonts w:ascii="Palatino Linotype" w:hAnsi="Palatino Linotype" w:cs="Arial"/>
        </w:rPr>
        <w:t xml:space="preserve">siendo que se comprueba que el </w:t>
      </w:r>
      <w:r w:rsidR="00797D39" w:rsidRPr="00797D39">
        <w:rPr>
          <w:rFonts w:ascii="Palatino Linotype" w:hAnsi="Palatino Linotype" w:cs="Arial"/>
          <w:b/>
        </w:rPr>
        <w:t>SUJETO OBLIGADO</w:t>
      </w:r>
      <w:r w:rsidR="00797D39">
        <w:rPr>
          <w:rFonts w:ascii="Palatino Linotype" w:hAnsi="Palatino Linotype" w:cs="Arial"/>
        </w:rPr>
        <w:t xml:space="preserve"> tiene atribuciones para contar con la totalidad de la información requerida</w:t>
      </w:r>
      <w:r w:rsidR="0011671C">
        <w:rPr>
          <w:rFonts w:ascii="Palatino Linotype" w:hAnsi="Palatino Linotype" w:cs="Arial"/>
        </w:rPr>
        <w:t xml:space="preserve">, </w:t>
      </w:r>
      <w:r w:rsidR="00003FCE">
        <w:rPr>
          <w:rFonts w:ascii="Palatino Linotype" w:hAnsi="Palatino Linotype" w:cs="Arial"/>
        </w:rPr>
        <w:t xml:space="preserve">y en el </w:t>
      </w:r>
      <w:r w:rsidR="00003FCE">
        <w:rPr>
          <w:rFonts w:ascii="Palatino Linotype" w:hAnsi="Palatino Linotype" w:cs="Arial"/>
        </w:rPr>
        <w:lastRenderedPageBreak/>
        <w:t xml:space="preserve">caso de no contar con ella se debió ordenar la declaración de la inexistencia, con lo cual conllevaría a determinar quiénes son los servidores públicos responsables de la falta de regulación de estos organismos, además de evidenciar su </w:t>
      </w:r>
      <w:r w:rsidR="0089424A">
        <w:rPr>
          <w:rFonts w:ascii="Palatino Linotype" w:hAnsi="Palatino Linotype" w:cs="Arial"/>
        </w:rPr>
        <w:t xml:space="preserve">deliberada actuación al no manifestar en las cuentas </w:t>
      </w:r>
      <w:r w:rsidR="00003FCE">
        <w:rPr>
          <w:rFonts w:ascii="Palatino Linotype" w:hAnsi="Palatino Linotype" w:cs="Arial"/>
        </w:rPr>
        <w:t>públicas</w:t>
      </w:r>
      <w:r w:rsidR="0089424A">
        <w:rPr>
          <w:rFonts w:ascii="Palatino Linotype" w:hAnsi="Palatino Linotype" w:cs="Arial"/>
        </w:rPr>
        <w:t xml:space="preserve"> </w:t>
      </w:r>
      <w:r w:rsidR="00003FCE">
        <w:rPr>
          <w:rFonts w:ascii="Palatino Linotype" w:hAnsi="Palatino Linotype" w:cs="Arial"/>
        </w:rPr>
        <w:t xml:space="preserve">los recursos públicos que estos organismos como el CUSAEM reciben, y que incluso es un inexcusable hecho de corrupción, </w:t>
      </w:r>
      <w:r w:rsidR="00D16945">
        <w:rPr>
          <w:rFonts w:ascii="Palatino Linotype" w:hAnsi="Palatino Linotype" w:cs="Arial"/>
        </w:rPr>
        <w:t xml:space="preserve">que constituye uno de los </w:t>
      </w:r>
      <w:r w:rsidR="00003FCE">
        <w:rPr>
          <w:rFonts w:ascii="Palatino Linotype" w:hAnsi="Palatino Linotype" w:cs="Arial"/>
        </w:rPr>
        <w:t>casos que deben de llevar un proceso ante el Sistema Estatal Anticorrupción</w:t>
      </w:r>
    </w:p>
    <w:p w:rsidR="00BC3499" w:rsidRDefault="00BC3499" w:rsidP="00BC349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p>
    <w:p w:rsidR="00D135EB" w:rsidRDefault="00D135EB" w:rsidP="00BC349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p>
    <w:p w:rsidR="00C43352" w:rsidRDefault="00C43352" w:rsidP="00BC349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bookmarkStart w:id="10" w:name="_GoBack"/>
      <w:bookmarkEnd w:id="10"/>
    </w:p>
    <w:p w:rsidR="00C43352" w:rsidRDefault="00C43352" w:rsidP="00BC349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jc w:val="both"/>
        <w:rPr>
          <w:rFonts w:ascii="Palatino Linotype" w:hAnsi="Palatino Linotype" w:cs="Arial"/>
        </w:rPr>
      </w:pPr>
    </w:p>
    <w:p w:rsidR="00D76183" w:rsidRPr="00826999" w:rsidRDefault="00D76183" w:rsidP="00D76183">
      <w:pPr>
        <w:spacing w:line="360" w:lineRule="auto"/>
        <w:jc w:val="center"/>
        <w:rPr>
          <w:rFonts w:ascii="Palatino Linotype" w:eastAsia="Arial" w:hAnsi="Palatino Linotype" w:cs="Arial"/>
          <w:b/>
          <w:color w:val="000000"/>
          <w:lang w:eastAsia="es-MX"/>
        </w:rPr>
      </w:pPr>
      <w:r w:rsidRPr="00826999">
        <w:rPr>
          <w:rFonts w:ascii="Palatino Linotype" w:eastAsia="Arial" w:hAnsi="Palatino Linotype" w:cs="Arial"/>
          <w:b/>
          <w:color w:val="000000"/>
          <w:lang w:eastAsia="es-MX"/>
        </w:rPr>
        <w:t>JOSÉ GUADALUPE LUNA HERNÁNDEZ</w:t>
      </w:r>
    </w:p>
    <w:p w:rsidR="00D76183" w:rsidRDefault="00D76183" w:rsidP="00D76183">
      <w:pPr>
        <w:spacing w:line="360" w:lineRule="auto"/>
        <w:jc w:val="center"/>
        <w:rPr>
          <w:rFonts w:ascii="Palatino Linotype" w:eastAsia="Arial" w:hAnsi="Palatino Linotype" w:cs="Arial"/>
          <w:b/>
          <w:color w:val="000000"/>
          <w:lang w:eastAsia="es-MX"/>
        </w:rPr>
      </w:pPr>
      <w:r w:rsidRPr="00826999">
        <w:rPr>
          <w:rFonts w:ascii="Palatino Linotype" w:eastAsia="Arial" w:hAnsi="Palatino Linotype" w:cs="Arial"/>
          <w:b/>
          <w:color w:val="000000"/>
          <w:lang w:eastAsia="es-MX"/>
        </w:rPr>
        <w:t>COMISIONADO</w:t>
      </w:r>
    </w:p>
    <w:p w:rsidR="00C43352" w:rsidRDefault="00C43352" w:rsidP="00D76183">
      <w:pPr>
        <w:spacing w:line="360" w:lineRule="auto"/>
        <w:jc w:val="center"/>
        <w:rPr>
          <w:rFonts w:ascii="Palatino Linotype" w:eastAsia="Arial" w:hAnsi="Palatino Linotype" w:cs="Arial"/>
          <w:b/>
          <w:color w:val="000000"/>
          <w:lang w:eastAsia="es-MX"/>
        </w:rPr>
      </w:pPr>
      <w:r>
        <w:rPr>
          <w:rFonts w:ascii="Palatino Linotype" w:eastAsia="Arial" w:hAnsi="Palatino Linotype" w:cs="Arial"/>
          <w:b/>
          <w:color w:val="000000"/>
          <w:lang w:eastAsia="es-MX"/>
        </w:rPr>
        <w:t>(RÚBRICA)</w:t>
      </w:r>
    </w:p>
    <w:p w:rsidR="00C43352" w:rsidRDefault="00C43352" w:rsidP="00C43352">
      <w:pPr>
        <w:spacing w:line="360" w:lineRule="auto"/>
        <w:rPr>
          <w:rFonts w:ascii="Palatino Linotype" w:eastAsia="Arial" w:hAnsi="Palatino Linotype" w:cs="Arial"/>
          <w:b/>
          <w:color w:val="000000"/>
          <w:lang w:eastAsia="es-MX"/>
        </w:rPr>
      </w:pPr>
    </w:p>
    <w:p w:rsidR="00C43352" w:rsidRDefault="00C43352" w:rsidP="00C43352">
      <w:pPr>
        <w:spacing w:line="360" w:lineRule="auto"/>
        <w:rPr>
          <w:rFonts w:ascii="Palatino Linotype" w:eastAsia="Arial" w:hAnsi="Palatino Linotype" w:cs="Arial"/>
          <w:b/>
          <w:color w:val="000000"/>
          <w:lang w:eastAsia="es-MX"/>
        </w:rPr>
      </w:pPr>
    </w:p>
    <w:p w:rsidR="00C43352" w:rsidRDefault="00C43352" w:rsidP="00C43352">
      <w:pPr>
        <w:spacing w:line="360" w:lineRule="auto"/>
        <w:rPr>
          <w:rFonts w:ascii="Palatino Linotype" w:eastAsia="Arial" w:hAnsi="Palatino Linotype" w:cs="Arial"/>
          <w:b/>
          <w:color w:val="000000"/>
          <w:lang w:eastAsia="es-MX"/>
        </w:rPr>
      </w:pPr>
    </w:p>
    <w:p w:rsidR="00C43352" w:rsidRDefault="00C43352" w:rsidP="00C43352">
      <w:pPr>
        <w:spacing w:line="360" w:lineRule="auto"/>
        <w:rPr>
          <w:rFonts w:ascii="Palatino Linotype" w:eastAsia="Arial" w:hAnsi="Palatino Linotype" w:cs="Arial"/>
          <w:b/>
          <w:color w:val="000000"/>
          <w:lang w:eastAsia="es-MX"/>
        </w:rPr>
      </w:pPr>
    </w:p>
    <w:p w:rsidR="00C43352" w:rsidRDefault="00C43352" w:rsidP="00C43352">
      <w:pPr>
        <w:spacing w:line="360" w:lineRule="auto"/>
        <w:rPr>
          <w:rFonts w:ascii="Palatino Linotype" w:eastAsia="Arial" w:hAnsi="Palatino Linotype" w:cs="Arial"/>
          <w:b/>
          <w:color w:val="000000"/>
          <w:lang w:eastAsia="es-MX"/>
        </w:rPr>
      </w:pPr>
    </w:p>
    <w:p w:rsidR="00C43352" w:rsidRDefault="00C43352" w:rsidP="00C43352">
      <w:pPr>
        <w:spacing w:line="360" w:lineRule="auto"/>
        <w:rPr>
          <w:rFonts w:ascii="Palatino Linotype" w:eastAsia="Arial" w:hAnsi="Palatino Linotype" w:cs="Arial"/>
          <w:b/>
          <w:color w:val="000000"/>
          <w:lang w:eastAsia="es-MX"/>
        </w:rPr>
      </w:pPr>
    </w:p>
    <w:p w:rsidR="00C43352" w:rsidRDefault="00C43352" w:rsidP="00C43352">
      <w:pPr>
        <w:spacing w:line="360" w:lineRule="auto"/>
        <w:rPr>
          <w:rFonts w:ascii="Palatino Linotype" w:eastAsia="Arial" w:hAnsi="Palatino Linotype" w:cs="Arial"/>
          <w:b/>
          <w:color w:val="000000"/>
          <w:lang w:eastAsia="es-MX"/>
        </w:rPr>
      </w:pPr>
      <w:r>
        <w:rPr>
          <w:rFonts w:ascii="Palatino Linotype" w:eastAsia="Arial" w:hAnsi="Palatino Linotype" w:cs="Arial"/>
          <w:b/>
          <w:color w:val="000000"/>
          <w:lang w:eastAsia="es-MX"/>
        </w:rPr>
        <w:t>JGLH/DAG</w:t>
      </w:r>
    </w:p>
    <w:sectPr w:rsidR="00C43352" w:rsidSect="00BE5247">
      <w:headerReference w:type="even" r:id="rId11"/>
      <w:headerReference w:type="default" r:id="rId12"/>
      <w:footerReference w:type="default" r:id="rId13"/>
      <w:headerReference w:type="first" r:id="rId14"/>
      <w:pgSz w:w="12240" w:h="15840" w:code="1"/>
      <w:pgMar w:top="2495"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E40" w:rsidRDefault="00B92E40" w:rsidP="00ED7332">
      <w:r>
        <w:separator/>
      </w:r>
    </w:p>
  </w:endnote>
  <w:endnote w:type="continuationSeparator" w:id="0">
    <w:p w:rsidR="00B92E40" w:rsidRDefault="00B92E40"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Content>
      <w:sdt>
        <w:sdtPr>
          <w:id w:val="-1769616900"/>
          <w:docPartObj>
            <w:docPartGallery w:val="Page Numbers (Top of Page)"/>
            <w:docPartUnique/>
          </w:docPartObj>
        </w:sdtPr>
        <w:sdtContent>
          <w:p w:rsidR="00927CE3" w:rsidRDefault="00927CE3">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711C5C">
              <w:rPr>
                <w:rFonts w:ascii="Palatino Linotype" w:hAnsi="Palatino Linotype"/>
                <w:b/>
                <w:bCs/>
                <w:noProof/>
                <w:sz w:val="20"/>
                <w:szCs w:val="20"/>
              </w:rPr>
              <w:t>37</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711C5C">
              <w:rPr>
                <w:rFonts w:ascii="Palatino Linotype" w:hAnsi="Palatino Linotype"/>
                <w:b/>
                <w:bCs/>
                <w:noProof/>
                <w:sz w:val="20"/>
                <w:szCs w:val="20"/>
              </w:rPr>
              <w:t>37</w:t>
            </w:r>
            <w:r w:rsidRPr="0052203D">
              <w:rPr>
                <w:rFonts w:ascii="Palatino Linotype" w:hAnsi="Palatino Linotype"/>
                <w:b/>
                <w:bCs/>
                <w:sz w:val="20"/>
                <w:szCs w:val="20"/>
              </w:rPr>
              <w:fldChar w:fldCharType="end"/>
            </w:r>
          </w:p>
        </w:sdtContent>
      </w:sdt>
    </w:sdtContent>
  </w:sdt>
  <w:p w:rsidR="00927CE3" w:rsidRDefault="00927C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E40" w:rsidRDefault="00B92E40" w:rsidP="00ED7332">
      <w:r>
        <w:separator/>
      </w:r>
    </w:p>
  </w:footnote>
  <w:footnote w:type="continuationSeparator" w:id="0">
    <w:p w:rsidR="00B92E40" w:rsidRDefault="00B92E40" w:rsidP="00ED7332">
      <w:r>
        <w:continuationSeparator/>
      </w:r>
    </w:p>
  </w:footnote>
  <w:footnote w:id="1">
    <w:p w:rsidR="00927CE3" w:rsidRDefault="00927CE3" w:rsidP="00D76183">
      <w:pPr>
        <w:pStyle w:val="Textonotapie"/>
        <w:jc w:val="both"/>
      </w:pPr>
      <w:r>
        <w:rPr>
          <w:rStyle w:val="Refdenotaalpie"/>
        </w:rPr>
        <w:footnoteRef/>
      </w:r>
      <w:r>
        <w:t xml:space="preserve"> GONZÁLEZ FERNÁNDEZ, José Antonio. “La Seguridad Pública en México” en PEÑALOZA, Pedro José y GARZA SALINAS, Mario A., </w:t>
      </w:r>
      <w:proofErr w:type="spellStart"/>
      <w:r>
        <w:t>coords</w:t>
      </w:r>
      <w:proofErr w:type="spellEnd"/>
      <w:r>
        <w:t xml:space="preserve">. </w:t>
      </w:r>
      <w:r w:rsidRPr="002B5480">
        <w:rPr>
          <w:i/>
        </w:rPr>
        <w:t>Los Desafíos de la Seguridad Pública en México</w:t>
      </w:r>
      <w:r>
        <w:t xml:space="preserve">. México, Ed. Procuraduría General de la República e Instituto de Investigaciones Jurídicas, UNAM. 2002. Pág. 126. Disponible en: </w:t>
      </w:r>
      <w:hyperlink r:id="rId1" w:history="1">
        <w:r w:rsidRPr="00B46364">
          <w:rPr>
            <w:rStyle w:val="Hipervnculo"/>
          </w:rPr>
          <w:t>http://biblio.juridicas.unam.mx/libros/1/419/12.pdf</w:t>
        </w:r>
      </w:hyperlink>
      <w:r>
        <w:t xml:space="preserve"> </w:t>
      </w:r>
    </w:p>
  </w:footnote>
  <w:footnote w:id="2">
    <w:p w:rsidR="00927CE3" w:rsidRDefault="00927CE3" w:rsidP="00D76183">
      <w:pPr>
        <w:pStyle w:val="Textonotapie"/>
      </w:pPr>
      <w:r>
        <w:rPr>
          <w:rStyle w:val="Refdenotaalpie"/>
        </w:rPr>
        <w:footnoteRef/>
      </w:r>
      <w:r>
        <w:t xml:space="preserve"> </w:t>
      </w:r>
      <w:r w:rsidRPr="00D128AC">
        <w:rPr>
          <w:i/>
        </w:rPr>
        <w:t>Ibídem</w:t>
      </w:r>
      <w:r>
        <w:t>. Pág. 128.</w:t>
      </w:r>
    </w:p>
  </w:footnote>
  <w:footnote w:id="3">
    <w:p w:rsidR="00927CE3" w:rsidRDefault="00927CE3" w:rsidP="00D76183">
      <w:pPr>
        <w:pStyle w:val="Textonotapie"/>
      </w:pPr>
      <w:r>
        <w:rPr>
          <w:rStyle w:val="Refdenotaalpie"/>
        </w:rPr>
        <w:footnoteRef/>
      </w:r>
      <w:r>
        <w:t xml:space="preserve"> Instituto de Transparencia, acceso a la Información Pública y Protección de Datos Personales del Estado de México y Municipios. Recurso de revisión </w:t>
      </w:r>
      <w:r w:rsidRPr="00826999">
        <w:rPr>
          <w:rFonts w:ascii="Palatino Linotype" w:hAnsi="Palatino Linotype" w:cs="Arial"/>
          <w:b/>
          <w:sz w:val="24"/>
          <w:szCs w:val="24"/>
        </w:rPr>
        <w:t>0</w:t>
      </w:r>
      <w:r>
        <w:rPr>
          <w:rFonts w:ascii="Palatino Linotype" w:hAnsi="Palatino Linotype" w:cs="Arial"/>
          <w:b/>
          <w:sz w:val="24"/>
          <w:szCs w:val="24"/>
        </w:rPr>
        <w:t>0723</w:t>
      </w:r>
      <w:r w:rsidRPr="00826999">
        <w:rPr>
          <w:rFonts w:ascii="Palatino Linotype" w:hAnsi="Palatino Linotype" w:cs="Arial"/>
          <w:b/>
          <w:sz w:val="24"/>
          <w:szCs w:val="24"/>
        </w:rPr>
        <w:t>/INFOEM/IP/RR/201</w:t>
      </w:r>
      <w:r>
        <w:rPr>
          <w:rFonts w:ascii="Palatino Linotype" w:hAnsi="Palatino Linotype" w:cs="Arial"/>
          <w:b/>
          <w:sz w:val="24"/>
          <w:szCs w:val="24"/>
        </w:rPr>
        <w:t>6.</w:t>
      </w:r>
    </w:p>
  </w:footnote>
  <w:footnote w:id="4">
    <w:p w:rsidR="00927CE3" w:rsidRDefault="00927CE3" w:rsidP="00D76183">
      <w:pPr>
        <w:pStyle w:val="Textonotapie"/>
      </w:pPr>
      <w:r>
        <w:rPr>
          <w:rStyle w:val="Refdenotaalpie"/>
        </w:rPr>
        <w:footnoteRef/>
      </w:r>
      <w:r>
        <w:t xml:space="preserve"> Instituto de Transparencia, acceso a la Información Pública y Protección de Datos Personales del Estado de México y Municipios. Recursos de revisión </w:t>
      </w:r>
      <w:r w:rsidRPr="00331BE3">
        <w:rPr>
          <w:rFonts w:ascii="Palatino Linotype" w:hAnsi="Palatino Linotype" w:cs="Arial"/>
          <w:sz w:val="24"/>
          <w:szCs w:val="24"/>
        </w:rPr>
        <w:t>01129/INFOEM/IP/RR/2015 y 01130/INFOEM/AD/RR/2015</w:t>
      </w:r>
      <w:r>
        <w:rPr>
          <w:rFonts w:ascii="Palatino Linotype" w:hAnsi="Palatino Linotype" w:cs="Arial"/>
          <w:sz w:val="24"/>
          <w:szCs w:val="24"/>
        </w:rPr>
        <w:t xml:space="preserve"> (acumulados).</w:t>
      </w:r>
    </w:p>
  </w:footnote>
  <w:footnote w:id="5">
    <w:p w:rsidR="00927CE3" w:rsidRPr="001010D2" w:rsidRDefault="00927CE3" w:rsidP="001010D2">
      <w:pPr>
        <w:tabs>
          <w:tab w:val="left" w:pos="284"/>
          <w:tab w:val="left" w:pos="426"/>
        </w:tabs>
        <w:jc w:val="both"/>
        <w:rPr>
          <w:rFonts w:ascii="Palatino Linotype" w:hAnsi="Palatino Linotype"/>
          <w:sz w:val="18"/>
          <w:u w:val="single"/>
        </w:rPr>
      </w:pPr>
      <w:r>
        <w:rPr>
          <w:rStyle w:val="Refdenotaalpie"/>
        </w:rPr>
        <w:footnoteRef/>
      </w:r>
      <w:r w:rsidRPr="001010D2">
        <w:t xml:space="preserve"> </w:t>
      </w:r>
      <w:r w:rsidRPr="001010D2">
        <w:rPr>
          <w:rFonts w:ascii="Palatino Linotype" w:hAnsi="Palatino Linotype"/>
          <w:sz w:val="18"/>
        </w:rPr>
        <w:t>V</w:t>
      </w:r>
      <w:r>
        <w:rPr>
          <w:rFonts w:ascii="Palatino Linotype" w:hAnsi="Palatino Linotype"/>
          <w:sz w:val="18"/>
        </w:rPr>
        <w:t>é</w:t>
      </w:r>
      <w:r w:rsidRPr="001010D2">
        <w:rPr>
          <w:rFonts w:ascii="Palatino Linotype" w:hAnsi="Palatino Linotype"/>
          <w:sz w:val="18"/>
        </w:rPr>
        <w:t>ase</w:t>
      </w:r>
      <w:r w:rsidRPr="001010D2">
        <w:rPr>
          <w:rFonts w:ascii="Palatino Linotype" w:hAnsi="Palatino Linotype"/>
          <w:sz w:val="18"/>
          <w:u w:val="single"/>
        </w:rPr>
        <w:t xml:space="preserve"> https://www.eleconomista.com.mx/politica/Cusaem-con-contratos-dudosos-a-nivel-federal-20150624-0057.html</w:t>
      </w:r>
    </w:p>
    <w:p w:rsidR="00927CE3" w:rsidRPr="001010D2" w:rsidRDefault="00927CE3">
      <w:pPr>
        <w:pStyle w:val="Textonotapie"/>
      </w:pPr>
    </w:p>
  </w:footnote>
  <w:footnote w:id="6">
    <w:p w:rsidR="001B364B" w:rsidRDefault="001B364B" w:rsidP="001B364B">
      <w:pPr>
        <w:pStyle w:val="Textonotapie"/>
      </w:pPr>
      <w:r>
        <w:rPr>
          <w:rStyle w:val="Refdenotaalpie"/>
        </w:rPr>
        <w:footnoteRef/>
      </w:r>
      <w:r>
        <w:t xml:space="preserve"> </w:t>
      </w:r>
      <w:proofErr w:type="spellStart"/>
      <w:r>
        <w:t>Veáse</w:t>
      </w:r>
      <w:proofErr w:type="spellEnd"/>
      <w:r>
        <w:t xml:space="preserve"> en </w:t>
      </w:r>
      <w:r w:rsidRPr="00B25A23">
        <w:rPr>
          <w:u w:val="single"/>
        </w:rPr>
        <w:t>http://sseguridad.edomex.gob.mx/organigrama</w:t>
      </w:r>
    </w:p>
  </w:footnote>
  <w:footnote w:id="7">
    <w:p w:rsidR="00927CE3" w:rsidRDefault="00927CE3" w:rsidP="00D76183">
      <w:pPr>
        <w:pStyle w:val="Textocomentario"/>
        <w:jc w:val="both"/>
      </w:pPr>
      <w:r>
        <w:rPr>
          <w:rStyle w:val="Refdenotaalpie"/>
        </w:rPr>
        <w:footnoteRef/>
      </w:r>
      <w:r>
        <w:t xml:space="preserve"> 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footnote>
  <w:footnote w:id="8">
    <w:p w:rsidR="00927CE3" w:rsidRDefault="00927CE3" w:rsidP="00D76183">
      <w:pPr>
        <w:pStyle w:val="Textonotapie"/>
      </w:pPr>
      <w:r>
        <w:rPr>
          <w:rStyle w:val="Refdenotaalpie"/>
        </w:rPr>
        <w:footnoteRef/>
      </w:r>
      <w:r>
        <w:t xml:space="preserve"> Comisión Interamericana de Derechos Humanos. Relatoría Especial para la Libertad de Expresión. El derecho de acceso a la información pública en el marco jurídico interamericano. 2ª. Edición, OEA, 2012. Párr. 41.</w:t>
      </w:r>
    </w:p>
  </w:footnote>
  <w:footnote w:id="9">
    <w:p w:rsidR="00927CE3" w:rsidRDefault="00927CE3" w:rsidP="00D76183">
      <w:pPr>
        <w:pStyle w:val="Textonotapie"/>
      </w:pPr>
      <w:r>
        <w:rPr>
          <w:rStyle w:val="Refdenotaalpie"/>
        </w:rPr>
        <w:footnoteRef/>
      </w:r>
      <w:r>
        <w:t xml:space="preserve"> </w:t>
      </w:r>
      <w:r w:rsidRPr="00756545">
        <w:rPr>
          <w:i/>
        </w:rPr>
        <w:t>Ibídem</w:t>
      </w:r>
      <w:r>
        <w:t>. Párr. 12.</w:t>
      </w:r>
    </w:p>
  </w:footnote>
  <w:footnote w:id="10">
    <w:p w:rsidR="00927CE3" w:rsidRDefault="00927CE3" w:rsidP="00D76183">
      <w:pPr>
        <w:pStyle w:val="Textonotapie"/>
      </w:pPr>
      <w:r>
        <w:rPr>
          <w:rStyle w:val="Refdenotaalpie"/>
        </w:rPr>
        <w:footnoteRef/>
      </w:r>
      <w:r>
        <w:t xml:space="preserve"> Lo anterior es incluso un requerimiento del sistema interamericano de protección a los derechos humanos. </w:t>
      </w:r>
      <w:r w:rsidRPr="00756545">
        <w:rPr>
          <w:i/>
        </w:rPr>
        <w:t>Ibídem</w:t>
      </w:r>
      <w:r>
        <w:t xml:space="preserve">. Párr. 113. </w:t>
      </w:r>
    </w:p>
  </w:footnote>
  <w:footnote w:id="11">
    <w:p w:rsidR="0089424A" w:rsidRDefault="0089424A">
      <w:pPr>
        <w:pStyle w:val="Textonotapie"/>
      </w:pPr>
      <w:r>
        <w:rPr>
          <w:rStyle w:val="Refdenotaalpie"/>
        </w:rPr>
        <w:footnoteRef/>
      </w:r>
      <w:r>
        <w:t xml:space="preserve"> Salazar Ugarte, Pedro y otros, </w:t>
      </w:r>
      <w:r>
        <w:t>2017</w:t>
      </w:r>
      <w:r>
        <w:t>, ¿Cómo combatir la corrupción?, Instituto de Investigaciones Jurídicas UNAM.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CE3" w:rsidRDefault="00927C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127329" o:spid="_x0000_s2066" type="#_x0000_t136" style="position:absolute;margin-left:0;margin-top:0;width:538.05pt;height:84.9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CE3" w:rsidRDefault="00927C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127330" o:spid="_x0000_s2067" type="#_x0000_t136" style="position:absolute;margin-left:0;margin-top:0;width:538.05pt;height:84.95pt;rotation:315;z-index:-251653120;mso-position-horizontal:center;mso-position-horizontal-relative:margin;mso-position-vertical:center;mso-position-vertical-relative:margin" o:allowincell="f" fillcolor="#bfbfbf [2412]" stroked="f">
          <v:fill opacity=".5"/>
          <v:textpath style="font-family:&quot;Palatino Linotype&quot;;font-size:1pt" string="VOTO DISID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CE3" w:rsidRDefault="00927C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127328" o:spid="_x0000_s2065" type="#_x0000_t136" style="position:absolute;margin-left:0;margin-top:0;width:538.05pt;height:84.95pt;rotation:315;z-index:-251657216;mso-position-horizontal:center;mso-position-horizontal-relative:margin;mso-position-vertical:center;mso-position-vertical-relative:margin" o:allowincell="f" fillcolor="#bfbfbf [2412]"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213"/>
    <w:multiLevelType w:val="hybridMultilevel"/>
    <w:tmpl w:val="70365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0B5694"/>
    <w:multiLevelType w:val="hybridMultilevel"/>
    <w:tmpl w:val="1D5CBC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3" w15:restartNumberingAfterBreak="0">
    <w:nsid w:val="0A11719A"/>
    <w:multiLevelType w:val="hybridMultilevel"/>
    <w:tmpl w:val="3A2654EE"/>
    <w:lvl w:ilvl="0" w:tplc="9AC4D98A">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20B76"/>
    <w:multiLevelType w:val="hybridMultilevel"/>
    <w:tmpl w:val="38F45DBE"/>
    <w:lvl w:ilvl="0" w:tplc="8D2C4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B17A16"/>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552DC5"/>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203FF0"/>
    <w:multiLevelType w:val="hybridMultilevel"/>
    <w:tmpl w:val="5FFEF7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86147D"/>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B8E2722"/>
    <w:multiLevelType w:val="hybridMultilevel"/>
    <w:tmpl w:val="A79A6DFC"/>
    <w:lvl w:ilvl="0" w:tplc="B8148920">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C82D27"/>
    <w:multiLevelType w:val="hybridMultilevel"/>
    <w:tmpl w:val="272E8B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6"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AC5D89"/>
    <w:multiLevelType w:val="hybridMultilevel"/>
    <w:tmpl w:val="4C82800E"/>
    <w:lvl w:ilvl="0" w:tplc="38461EBE">
      <w:start w:val="1"/>
      <w:numFmt w:val="decimal"/>
      <w:lvlText w:val="%1."/>
      <w:lvlJc w:val="left"/>
      <w:pPr>
        <w:ind w:left="426" w:hanging="360"/>
      </w:pPr>
      <w:rPr>
        <w:i w:val="0"/>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15:restartNumberingAfterBreak="0">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DB1DC6"/>
    <w:multiLevelType w:val="multilevel"/>
    <w:tmpl w:val="08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814E3A"/>
    <w:multiLevelType w:val="hybridMultilevel"/>
    <w:tmpl w:val="A810F4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4352B7"/>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79395F"/>
    <w:multiLevelType w:val="hybridMultilevel"/>
    <w:tmpl w:val="C4B6F8CE"/>
    <w:lvl w:ilvl="0" w:tplc="EAA4304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3A7DA8"/>
    <w:multiLevelType w:val="hybridMultilevel"/>
    <w:tmpl w:val="27B258C0"/>
    <w:lvl w:ilvl="0" w:tplc="C4487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1"/>
  </w:num>
  <w:num w:numId="3">
    <w:abstractNumId w:val="26"/>
  </w:num>
  <w:num w:numId="4">
    <w:abstractNumId w:val="10"/>
  </w:num>
  <w:num w:numId="5">
    <w:abstractNumId w:val="15"/>
  </w:num>
  <w:num w:numId="6">
    <w:abstractNumId w:val="2"/>
  </w:num>
  <w:num w:numId="7">
    <w:abstractNumId w:val="18"/>
  </w:num>
  <w:num w:numId="8">
    <w:abstractNumId w:val="27"/>
  </w:num>
  <w:num w:numId="9">
    <w:abstractNumId w:val="7"/>
  </w:num>
  <w:num w:numId="10">
    <w:abstractNumId w:val="12"/>
  </w:num>
  <w:num w:numId="11">
    <w:abstractNumId w:val="5"/>
  </w:num>
  <w:num w:numId="12">
    <w:abstractNumId w:val="9"/>
  </w:num>
  <w:num w:numId="13">
    <w:abstractNumId w:val="6"/>
  </w:num>
  <w:num w:numId="14">
    <w:abstractNumId w:val="23"/>
  </w:num>
  <w:num w:numId="15">
    <w:abstractNumId w:val="0"/>
  </w:num>
  <w:num w:numId="16">
    <w:abstractNumId w:val="4"/>
  </w:num>
  <w:num w:numId="17">
    <w:abstractNumId w:val="22"/>
  </w:num>
  <w:num w:numId="18">
    <w:abstractNumId w:val="14"/>
  </w:num>
  <w:num w:numId="19">
    <w:abstractNumId w:val="16"/>
  </w:num>
  <w:num w:numId="20">
    <w:abstractNumId w:val="13"/>
  </w:num>
  <w:num w:numId="21">
    <w:abstractNumId w:val="8"/>
  </w:num>
  <w:num w:numId="22">
    <w:abstractNumId w:val="1"/>
  </w:num>
  <w:num w:numId="23">
    <w:abstractNumId w:val="17"/>
  </w:num>
  <w:num w:numId="24">
    <w:abstractNumId w:val="25"/>
  </w:num>
  <w:num w:numId="25">
    <w:abstractNumId w:val="24"/>
  </w:num>
  <w:num w:numId="26">
    <w:abstractNumId w:val="20"/>
  </w:num>
  <w:num w:numId="27">
    <w:abstractNumId w:val="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3FCE"/>
    <w:rsid w:val="0001763B"/>
    <w:rsid w:val="00023318"/>
    <w:rsid w:val="000251CF"/>
    <w:rsid w:val="000269DA"/>
    <w:rsid w:val="000350F9"/>
    <w:rsid w:val="00061EA0"/>
    <w:rsid w:val="00075DCE"/>
    <w:rsid w:val="00076E75"/>
    <w:rsid w:val="00086602"/>
    <w:rsid w:val="000938C9"/>
    <w:rsid w:val="000B0E25"/>
    <w:rsid w:val="000C0AF3"/>
    <w:rsid w:val="000E196F"/>
    <w:rsid w:val="000E1C55"/>
    <w:rsid w:val="000F2AC8"/>
    <w:rsid w:val="000F373C"/>
    <w:rsid w:val="001010D2"/>
    <w:rsid w:val="00103510"/>
    <w:rsid w:val="001117F9"/>
    <w:rsid w:val="00111B9C"/>
    <w:rsid w:val="0011671C"/>
    <w:rsid w:val="00124627"/>
    <w:rsid w:val="00132880"/>
    <w:rsid w:val="001355C7"/>
    <w:rsid w:val="0015416E"/>
    <w:rsid w:val="0016141F"/>
    <w:rsid w:val="00175DF0"/>
    <w:rsid w:val="00180997"/>
    <w:rsid w:val="00191D5F"/>
    <w:rsid w:val="00193BC8"/>
    <w:rsid w:val="00196BA2"/>
    <w:rsid w:val="001A2F06"/>
    <w:rsid w:val="001B364B"/>
    <w:rsid w:val="001D1916"/>
    <w:rsid w:val="001D3485"/>
    <w:rsid w:val="001E2E42"/>
    <w:rsid w:val="001E3423"/>
    <w:rsid w:val="001F5972"/>
    <w:rsid w:val="00203272"/>
    <w:rsid w:val="002252EC"/>
    <w:rsid w:val="002547BA"/>
    <w:rsid w:val="00260645"/>
    <w:rsid w:val="0029569F"/>
    <w:rsid w:val="002A0A08"/>
    <w:rsid w:val="00315F6D"/>
    <w:rsid w:val="003178F6"/>
    <w:rsid w:val="0032313D"/>
    <w:rsid w:val="003317A7"/>
    <w:rsid w:val="00353185"/>
    <w:rsid w:val="00364B0E"/>
    <w:rsid w:val="003672A4"/>
    <w:rsid w:val="003765B0"/>
    <w:rsid w:val="003B6125"/>
    <w:rsid w:val="003C5D71"/>
    <w:rsid w:val="003D0A39"/>
    <w:rsid w:val="003D7D50"/>
    <w:rsid w:val="003F271D"/>
    <w:rsid w:val="00416BE5"/>
    <w:rsid w:val="004202D4"/>
    <w:rsid w:val="00421FE8"/>
    <w:rsid w:val="004252DB"/>
    <w:rsid w:val="00430106"/>
    <w:rsid w:val="00442DE9"/>
    <w:rsid w:val="00443667"/>
    <w:rsid w:val="004466B5"/>
    <w:rsid w:val="00476C7B"/>
    <w:rsid w:val="00495E68"/>
    <w:rsid w:val="004A2E81"/>
    <w:rsid w:val="004B1E60"/>
    <w:rsid w:val="004B2633"/>
    <w:rsid w:val="004C4360"/>
    <w:rsid w:val="004E4E3E"/>
    <w:rsid w:val="00500F30"/>
    <w:rsid w:val="0050137A"/>
    <w:rsid w:val="00503141"/>
    <w:rsid w:val="0051137D"/>
    <w:rsid w:val="00515230"/>
    <w:rsid w:val="00515941"/>
    <w:rsid w:val="0052203D"/>
    <w:rsid w:val="00523BF6"/>
    <w:rsid w:val="00525BCE"/>
    <w:rsid w:val="00550220"/>
    <w:rsid w:val="00554749"/>
    <w:rsid w:val="0055479F"/>
    <w:rsid w:val="0055614B"/>
    <w:rsid w:val="00574848"/>
    <w:rsid w:val="0058505D"/>
    <w:rsid w:val="005858E8"/>
    <w:rsid w:val="00597EA9"/>
    <w:rsid w:val="005A6108"/>
    <w:rsid w:val="005B19F1"/>
    <w:rsid w:val="005F71B7"/>
    <w:rsid w:val="00603FD9"/>
    <w:rsid w:val="006100FF"/>
    <w:rsid w:val="00614828"/>
    <w:rsid w:val="0063753D"/>
    <w:rsid w:val="0064089D"/>
    <w:rsid w:val="00651B65"/>
    <w:rsid w:val="00662E56"/>
    <w:rsid w:val="00696E58"/>
    <w:rsid w:val="006A1485"/>
    <w:rsid w:val="006B62BF"/>
    <w:rsid w:val="006D0124"/>
    <w:rsid w:val="006D55D7"/>
    <w:rsid w:val="00711C5C"/>
    <w:rsid w:val="00725EE4"/>
    <w:rsid w:val="0073333C"/>
    <w:rsid w:val="00735D75"/>
    <w:rsid w:val="007428B9"/>
    <w:rsid w:val="007527C4"/>
    <w:rsid w:val="007628F9"/>
    <w:rsid w:val="00765798"/>
    <w:rsid w:val="00770E7A"/>
    <w:rsid w:val="007737DD"/>
    <w:rsid w:val="00774600"/>
    <w:rsid w:val="00775EAC"/>
    <w:rsid w:val="0077794D"/>
    <w:rsid w:val="007849D5"/>
    <w:rsid w:val="00797B76"/>
    <w:rsid w:val="00797D39"/>
    <w:rsid w:val="007A70CB"/>
    <w:rsid w:val="007A761C"/>
    <w:rsid w:val="007A76AC"/>
    <w:rsid w:val="007A79F6"/>
    <w:rsid w:val="007C6138"/>
    <w:rsid w:val="007C7FC0"/>
    <w:rsid w:val="007F344B"/>
    <w:rsid w:val="00804E8A"/>
    <w:rsid w:val="00817744"/>
    <w:rsid w:val="008324F5"/>
    <w:rsid w:val="00835B3B"/>
    <w:rsid w:val="00876E43"/>
    <w:rsid w:val="00880EB4"/>
    <w:rsid w:val="008858C0"/>
    <w:rsid w:val="0089349F"/>
    <w:rsid w:val="0089424A"/>
    <w:rsid w:val="008B1C5D"/>
    <w:rsid w:val="008B7D1A"/>
    <w:rsid w:val="008C2281"/>
    <w:rsid w:val="008D51D8"/>
    <w:rsid w:val="008D6009"/>
    <w:rsid w:val="008F1F4E"/>
    <w:rsid w:val="00901E3C"/>
    <w:rsid w:val="00914DB3"/>
    <w:rsid w:val="00927CE3"/>
    <w:rsid w:val="0093158C"/>
    <w:rsid w:val="00950234"/>
    <w:rsid w:val="0099042C"/>
    <w:rsid w:val="009914B0"/>
    <w:rsid w:val="009A3C86"/>
    <w:rsid w:val="009B0BD7"/>
    <w:rsid w:val="009B5052"/>
    <w:rsid w:val="009D7059"/>
    <w:rsid w:val="00A02E1D"/>
    <w:rsid w:val="00A03A12"/>
    <w:rsid w:val="00A0509E"/>
    <w:rsid w:val="00A1127F"/>
    <w:rsid w:val="00A22833"/>
    <w:rsid w:val="00A26494"/>
    <w:rsid w:val="00A73E13"/>
    <w:rsid w:val="00AB0D5F"/>
    <w:rsid w:val="00AB39E6"/>
    <w:rsid w:val="00AD338A"/>
    <w:rsid w:val="00AD3E2D"/>
    <w:rsid w:val="00AE112C"/>
    <w:rsid w:val="00AE1FD6"/>
    <w:rsid w:val="00AE4F5B"/>
    <w:rsid w:val="00B12F7D"/>
    <w:rsid w:val="00B13203"/>
    <w:rsid w:val="00B16992"/>
    <w:rsid w:val="00B179F5"/>
    <w:rsid w:val="00B22DB8"/>
    <w:rsid w:val="00B25A23"/>
    <w:rsid w:val="00B35501"/>
    <w:rsid w:val="00B603A2"/>
    <w:rsid w:val="00B60B75"/>
    <w:rsid w:val="00B847C6"/>
    <w:rsid w:val="00B92E40"/>
    <w:rsid w:val="00BA7541"/>
    <w:rsid w:val="00BB6B3F"/>
    <w:rsid w:val="00BC23A5"/>
    <w:rsid w:val="00BC3499"/>
    <w:rsid w:val="00BE2C11"/>
    <w:rsid w:val="00BE4135"/>
    <w:rsid w:val="00BE5247"/>
    <w:rsid w:val="00BF450C"/>
    <w:rsid w:val="00C06B03"/>
    <w:rsid w:val="00C21B57"/>
    <w:rsid w:val="00C37835"/>
    <w:rsid w:val="00C43352"/>
    <w:rsid w:val="00C633F6"/>
    <w:rsid w:val="00C7654F"/>
    <w:rsid w:val="00CA1425"/>
    <w:rsid w:val="00CB1A7C"/>
    <w:rsid w:val="00CB3643"/>
    <w:rsid w:val="00CB6F59"/>
    <w:rsid w:val="00CC5D1D"/>
    <w:rsid w:val="00CD3F2D"/>
    <w:rsid w:val="00CE6301"/>
    <w:rsid w:val="00CF4B46"/>
    <w:rsid w:val="00D007E3"/>
    <w:rsid w:val="00D135EB"/>
    <w:rsid w:val="00D16945"/>
    <w:rsid w:val="00D212CB"/>
    <w:rsid w:val="00D36E31"/>
    <w:rsid w:val="00D420C4"/>
    <w:rsid w:val="00D570BC"/>
    <w:rsid w:val="00D679FD"/>
    <w:rsid w:val="00D76183"/>
    <w:rsid w:val="00D77E27"/>
    <w:rsid w:val="00D801DC"/>
    <w:rsid w:val="00D80DA7"/>
    <w:rsid w:val="00DA3782"/>
    <w:rsid w:val="00DD483D"/>
    <w:rsid w:val="00DE4BB4"/>
    <w:rsid w:val="00DF3767"/>
    <w:rsid w:val="00E043DE"/>
    <w:rsid w:val="00E05E7E"/>
    <w:rsid w:val="00E205B6"/>
    <w:rsid w:val="00E26435"/>
    <w:rsid w:val="00E4540E"/>
    <w:rsid w:val="00E86863"/>
    <w:rsid w:val="00EB0979"/>
    <w:rsid w:val="00ED5776"/>
    <w:rsid w:val="00ED7332"/>
    <w:rsid w:val="00F1175E"/>
    <w:rsid w:val="00F156BA"/>
    <w:rsid w:val="00F159A9"/>
    <w:rsid w:val="00F16984"/>
    <w:rsid w:val="00F24BB1"/>
    <w:rsid w:val="00F3413E"/>
    <w:rsid w:val="00F87A1E"/>
    <w:rsid w:val="00F978EB"/>
    <w:rsid w:val="00FA2FFF"/>
    <w:rsid w:val="00FB1913"/>
    <w:rsid w:val="00FB4BBB"/>
    <w:rsid w:val="00FD3789"/>
    <w:rsid w:val="00FF6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5:docId w15:val="{8F09B97B-30AB-47C7-B3D5-D65E789D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C7654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Palatino Linotype" w:eastAsiaTheme="majorEastAsia" w:hAnsi="Palatino Linotype" w:cs="Arial"/>
      <w:b/>
    </w:rPr>
  </w:style>
  <w:style w:type="paragraph" w:styleId="Ttulo2">
    <w:name w:val="heading 2"/>
    <w:basedOn w:val="Normal"/>
    <w:next w:val="Normal"/>
    <w:link w:val="Ttulo2Car"/>
    <w:uiPriority w:val="9"/>
    <w:unhideWhenUsed/>
    <w:qFormat/>
    <w:rsid w:val="006B62B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1"/>
    </w:pPr>
    <w:rPr>
      <w:rFonts w:asciiTheme="majorHAnsi" w:eastAsiaTheme="majorEastAsia" w:hAnsiTheme="majorHAnsi" w:cstheme="majorBidi"/>
      <w:color w:val="2E74B5" w:themeColor="accent1" w:themeShade="BF"/>
      <w:sz w:val="26"/>
      <w:szCs w:val="26"/>
      <w:bdr w:val="none" w:sz="0" w:space="0" w:color="auto"/>
    </w:rPr>
  </w:style>
  <w:style w:type="paragraph" w:styleId="Ttulo3">
    <w:name w:val="heading 3"/>
    <w:basedOn w:val="Normal"/>
    <w:next w:val="Normal"/>
    <w:link w:val="Ttulo3Car"/>
    <w:uiPriority w:val="9"/>
    <w:unhideWhenUsed/>
    <w:qFormat/>
    <w:rsid w:val="006B62B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1F4D78" w:themeColor="accent1" w:themeShade="7F"/>
      <w:bdr w:val="none" w:sz="0" w:space="0" w:color="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72"/>
    <w:qFormat/>
    <w:rsid w:val="00ED7332"/>
    <w:pPr>
      <w:ind w:left="720"/>
      <w:contextualSpacing/>
    </w:pPr>
  </w:style>
  <w:style w:type="paragraph" w:styleId="Textonotapie">
    <w:name w:val="footnote text"/>
    <w:basedOn w:val="Normal"/>
    <w:link w:val="TextonotapieCar"/>
    <w:uiPriority w:val="99"/>
    <w:unhideWhenUsed/>
    <w:rsid w:val="00ED7332"/>
    <w:rPr>
      <w:sz w:val="20"/>
      <w:szCs w:val="20"/>
    </w:rPr>
  </w:style>
  <w:style w:type="character" w:customStyle="1" w:styleId="TextonotapieCar">
    <w:name w:val="Texto nota pie Car"/>
    <w:basedOn w:val="Fuentedeprrafopredeter"/>
    <w:link w:val="Textonotapie"/>
    <w:uiPriority w:val="99"/>
    <w:rsid w:val="00ED7332"/>
    <w:rPr>
      <w:sz w:val="20"/>
      <w:szCs w:val="20"/>
    </w:rPr>
  </w:style>
  <w:style w:type="character" w:styleId="Refdenotaalpie">
    <w:name w:val="footnote reference"/>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link w:val="Prrafodelista"/>
    <w:uiPriority w:val="72"/>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table" w:styleId="Tablaconcuadrcula">
    <w:name w:val="Table Grid"/>
    <w:basedOn w:val="Tablanormal"/>
    <w:uiPriority w:val="39"/>
    <w:rsid w:val="00315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12F7D"/>
    <w:pPr>
      <w:spacing w:after="0" w:line="240" w:lineRule="auto"/>
    </w:pPr>
  </w:style>
  <w:style w:type="character" w:customStyle="1" w:styleId="Ttulo1Car">
    <w:name w:val="Título 1 Car"/>
    <w:basedOn w:val="Fuentedeprrafopredeter"/>
    <w:link w:val="Ttulo1"/>
    <w:uiPriority w:val="9"/>
    <w:rsid w:val="00C7654F"/>
    <w:rPr>
      <w:rFonts w:ascii="Palatino Linotype" w:eastAsiaTheme="majorEastAsia" w:hAnsi="Palatino Linotype" w:cs="Arial"/>
      <w:b/>
      <w:sz w:val="24"/>
      <w:szCs w:val="24"/>
      <w:bdr w:val="nil"/>
    </w:rPr>
  </w:style>
  <w:style w:type="paragraph" w:styleId="TtulodeTDC">
    <w:name w:val="TOC Heading"/>
    <w:basedOn w:val="Ttulo1"/>
    <w:next w:val="Normal"/>
    <w:uiPriority w:val="39"/>
    <w:unhideWhenUsed/>
    <w:qFormat/>
    <w:rsid w:val="00AE4F5B"/>
    <w:p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AE4F5B"/>
    <w:pPr>
      <w:tabs>
        <w:tab w:val="left" w:pos="660"/>
        <w:tab w:val="right" w:leader="dot" w:pos="8828"/>
      </w:tabs>
      <w:spacing w:after="100" w:line="360" w:lineRule="auto"/>
    </w:pPr>
    <w:rPr>
      <w:rFonts w:ascii="Palatino Linotype" w:hAnsi="Palatino Linotype"/>
      <w:b/>
      <w:noProof/>
    </w:rPr>
  </w:style>
  <w:style w:type="character" w:customStyle="1" w:styleId="Ttulo2Car">
    <w:name w:val="Título 2 Car"/>
    <w:basedOn w:val="Fuentedeprrafopredeter"/>
    <w:link w:val="Ttulo2"/>
    <w:uiPriority w:val="9"/>
    <w:rsid w:val="006B62BF"/>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B62BF"/>
    <w:rPr>
      <w:rFonts w:asciiTheme="majorHAnsi" w:eastAsiaTheme="majorEastAsia" w:hAnsiTheme="majorHAnsi" w:cstheme="majorBidi"/>
      <w:color w:val="1F4D78" w:themeColor="accent1" w:themeShade="7F"/>
      <w:sz w:val="24"/>
      <w:szCs w:val="24"/>
    </w:rPr>
  </w:style>
  <w:style w:type="paragraph" w:styleId="TDC2">
    <w:name w:val="toc 2"/>
    <w:basedOn w:val="Normal"/>
    <w:next w:val="Normal"/>
    <w:autoRedefine/>
    <w:uiPriority w:val="39"/>
    <w:unhideWhenUsed/>
    <w:rsid w:val="001B364B"/>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828"/>
      </w:tabs>
      <w:spacing w:after="100" w:line="259" w:lineRule="auto"/>
    </w:pPr>
    <w:rPr>
      <w:rFonts w:ascii="Palatino Linotype" w:eastAsiaTheme="minorHAnsi" w:hAnsi="Palatino Linotype" w:cstheme="minorBidi"/>
      <w:b/>
      <w:noProof/>
      <w:szCs w:val="22"/>
      <w:bdr w:val="none" w:sz="0" w:space="0" w:color="auto"/>
    </w:rPr>
  </w:style>
  <w:style w:type="character" w:styleId="Refdecomentario">
    <w:name w:val="annotation reference"/>
    <w:basedOn w:val="Fuentedeprrafopredeter"/>
    <w:uiPriority w:val="99"/>
    <w:semiHidden/>
    <w:unhideWhenUsed/>
    <w:rsid w:val="006B62BF"/>
    <w:rPr>
      <w:sz w:val="16"/>
      <w:szCs w:val="16"/>
    </w:rPr>
  </w:style>
  <w:style w:type="paragraph" w:styleId="TDC3">
    <w:name w:val="toc 3"/>
    <w:basedOn w:val="Normal"/>
    <w:next w:val="Normal"/>
    <w:autoRedefine/>
    <w:uiPriority w:val="39"/>
    <w:unhideWhenUsed/>
    <w:rsid w:val="006B62BF"/>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HAnsi" w:hAnsiTheme="minorHAnsi" w:cstheme="minorBidi"/>
      <w:sz w:val="22"/>
      <w:szCs w:val="22"/>
      <w:bdr w:val="none" w:sz="0" w:space="0" w:color="auto"/>
    </w:rPr>
  </w:style>
  <w:style w:type="paragraph" w:styleId="Textocomentario">
    <w:name w:val="annotation text"/>
    <w:basedOn w:val="Normal"/>
    <w:link w:val="TextocomentarioCar"/>
    <w:uiPriority w:val="99"/>
    <w:unhideWhenUsed/>
    <w:rsid w:val="00D7618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rsid w:val="00D7618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biblio.juridicas.unam.mx/libros/1/419/1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32205-87BF-491D-9B42-210B2F3F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37</Pages>
  <Words>7247</Words>
  <Characters>39862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15</cp:revision>
  <cp:lastPrinted>2019-02-19T00:16:00Z</cp:lastPrinted>
  <dcterms:created xsi:type="dcterms:W3CDTF">2019-02-18T16:50:00Z</dcterms:created>
  <dcterms:modified xsi:type="dcterms:W3CDTF">2019-02-19T00:16:00Z</dcterms:modified>
</cp:coreProperties>
</file>